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b/>
          <w:bCs/>
          <w:kern w:val="0"/>
          <w:sz w:val="52"/>
          <w:szCs w:val="52"/>
        </w:rPr>
      </w:pPr>
    </w:p>
    <w:p>
      <w:pPr>
        <w:widowControl/>
        <w:jc w:val="center"/>
        <w:rPr>
          <w:rFonts w:ascii="Times New Roman" w:hAnsi="Times New Roman" w:eastAsia="宋体" w:cs="Times New Roman"/>
          <w:b/>
          <w:bCs/>
          <w:kern w:val="0"/>
          <w:sz w:val="52"/>
          <w:szCs w:val="52"/>
        </w:rPr>
      </w:pPr>
      <w:r>
        <w:rPr>
          <w:rFonts w:ascii="Times New Roman" w:hAnsi="Times New Roman" w:eastAsia="宋体" w:cs="Times New Roman"/>
          <w:b/>
          <w:bCs/>
          <w:kern w:val="0"/>
          <w:sz w:val="52"/>
          <w:szCs w:val="52"/>
        </w:rPr>
        <w:t>安徽省</w:t>
      </w:r>
      <w:r>
        <w:rPr>
          <w:rFonts w:hint="eastAsia" w:ascii="Times New Roman" w:hAnsi="Times New Roman" w:eastAsia="宋体" w:cs="Times New Roman"/>
          <w:b/>
          <w:bCs/>
          <w:kern w:val="0"/>
          <w:sz w:val="52"/>
          <w:szCs w:val="52"/>
          <w:lang w:val="en-US" w:eastAsia="zh-CN"/>
        </w:rPr>
        <w:t>经工</w:t>
      </w:r>
      <w:r>
        <w:rPr>
          <w:rFonts w:hint="eastAsia" w:ascii="Times New Roman" w:hAnsi="Times New Roman" w:eastAsia="宋体" w:cs="Times New Roman"/>
          <w:b/>
          <w:bCs/>
          <w:kern w:val="0"/>
          <w:sz w:val="52"/>
          <w:szCs w:val="52"/>
        </w:rPr>
        <w:t>建设</w:t>
      </w:r>
      <w:r>
        <w:rPr>
          <w:rFonts w:hint="eastAsia" w:ascii="Times New Roman" w:hAnsi="Times New Roman" w:eastAsia="宋体" w:cs="Times New Roman"/>
          <w:b/>
          <w:bCs/>
          <w:kern w:val="0"/>
          <w:sz w:val="52"/>
          <w:szCs w:val="52"/>
          <w:lang w:val="en-US" w:eastAsia="zh-CN"/>
        </w:rPr>
        <w:t>集团</w:t>
      </w:r>
      <w:r>
        <w:rPr>
          <w:rFonts w:ascii="Times New Roman" w:hAnsi="Times New Roman" w:eastAsia="宋体" w:cs="Times New Roman"/>
          <w:b/>
          <w:bCs/>
          <w:kern w:val="0"/>
          <w:sz w:val="52"/>
          <w:szCs w:val="52"/>
        </w:rPr>
        <w:t>有限公司</w:t>
      </w:r>
    </w:p>
    <w:p>
      <w:pPr>
        <w:widowControl/>
        <w:jc w:val="center"/>
        <w:rPr>
          <w:rFonts w:ascii="Times New Roman" w:hAnsi="Times New Roman" w:cs="Times New Roman"/>
          <w:sz w:val="52"/>
          <w:szCs w:val="52"/>
        </w:rPr>
      </w:pPr>
      <w:r>
        <w:rPr>
          <w:rFonts w:ascii="Times New Roman" w:hAnsi="Times New Roman" w:eastAsia="宋体" w:cs="Times New Roman"/>
          <w:b/>
          <w:bCs/>
          <w:kern w:val="0"/>
          <w:sz w:val="52"/>
          <w:szCs w:val="52"/>
        </w:rPr>
        <w:t>内控体系建设项目</w:t>
      </w:r>
    </w:p>
    <w:p>
      <w:pPr>
        <w:spacing w:line="540" w:lineRule="exact"/>
        <w:ind w:firstLine="420"/>
        <w:jc w:val="center"/>
        <w:rPr>
          <w:rFonts w:ascii="Times New Roman" w:hAnsi="Times New Roman" w:cs="Times New Roman"/>
          <w:sz w:val="52"/>
          <w:szCs w:val="52"/>
        </w:rPr>
      </w:pPr>
    </w:p>
    <w:p>
      <w:pPr>
        <w:pStyle w:val="2"/>
        <w:jc w:val="center"/>
        <w:rPr>
          <w:rFonts w:ascii="Times New Roman" w:hAnsi="Times New Roman" w:cs="Times New Roman"/>
          <w:sz w:val="52"/>
          <w:szCs w:val="52"/>
        </w:rPr>
      </w:pPr>
    </w:p>
    <w:p>
      <w:pPr>
        <w:pStyle w:val="2"/>
        <w:jc w:val="center"/>
        <w:rPr>
          <w:rFonts w:ascii="Times New Roman" w:hAnsi="Times New Roman" w:cs="Times New Roman"/>
          <w:szCs w:val="21"/>
        </w:rPr>
      </w:pPr>
    </w:p>
    <w:p>
      <w:pPr>
        <w:spacing w:line="540" w:lineRule="exact"/>
        <w:ind w:firstLine="420"/>
        <w:jc w:val="center"/>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询比文件</w:t>
      </w:r>
    </w:p>
    <w:p>
      <w:pPr>
        <w:spacing w:line="540" w:lineRule="exact"/>
        <w:ind w:firstLine="420"/>
        <w:jc w:val="center"/>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left="1896" w:leftChars="903"/>
        <w:rPr>
          <w:rFonts w:ascii="Times New Roman" w:hAnsi="Times New Roman" w:cs="Times New Roman"/>
          <w:sz w:val="32"/>
          <w:szCs w:val="32"/>
        </w:rPr>
      </w:pPr>
      <w:r>
        <w:rPr>
          <w:rFonts w:ascii="Times New Roman" w:hAnsi="Times New Roman" w:eastAsia="黑体" w:cs="Times New Roman"/>
          <w:sz w:val="32"/>
          <w:szCs w:val="32"/>
        </w:rPr>
        <w:t>采购人：</w:t>
      </w:r>
      <w:r>
        <w:rPr>
          <w:rFonts w:hint="eastAsia" w:ascii="Times New Roman" w:hAnsi="Times New Roman" w:eastAsia="黑体" w:cs="Times New Roman"/>
          <w:sz w:val="32"/>
          <w:szCs w:val="32"/>
          <w:u w:val="single"/>
        </w:rPr>
        <w:t>安徽省</w:t>
      </w:r>
      <w:r>
        <w:rPr>
          <w:rFonts w:hint="eastAsia" w:ascii="Times New Roman" w:hAnsi="Times New Roman" w:eastAsia="黑体" w:cs="Times New Roman"/>
          <w:sz w:val="32"/>
          <w:szCs w:val="32"/>
          <w:u w:val="single"/>
          <w:lang w:val="en-US" w:eastAsia="zh-CN"/>
        </w:rPr>
        <w:t>经工</w:t>
      </w:r>
      <w:r>
        <w:rPr>
          <w:rFonts w:hint="eastAsia" w:ascii="Times New Roman" w:hAnsi="Times New Roman" w:eastAsia="黑体" w:cs="Times New Roman"/>
          <w:sz w:val="32"/>
          <w:szCs w:val="32"/>
          <w:u w:val="single"/>
        </w:rPr>
        <w:t>建设</w:t>
      </w:r>
      <w:r>
        <w:rPr>
          <w:rFonts w:hint="eastAsia" w:ascii="Times New Roman" w:hAnsi="Times New Roman" w:eastAsia="黑体" w:cs="Times New Roman"/>
          <w:sz w:val="32"/>
          <w:szCs w:val="32"/>
          <w:u w:val="single"/>
          <w:lang w:val="en-US" w:eastAsia="zh-CN"/>
        </w:rPr>
        <w:t>集团</w:t>
      </w:r>
      <w:r>
        <w:rPr>
          <w:rFonts w:hint="eastAsia" w:ascii="Times New Roman" w:hAnsi="Times New Roman" w:eastAsia="黑体" w:cs="Times New Roman"/>
          <w:sz w:val="32"/>
          <w:szCs w:val="32"/>
          <w:u w:val="single"/>
        </w:rPr>
        <w:t>有限公司</w:t>
      </w:r>
    </w:p>
    <w:p>
      <w:pPr>
        <w:snapToGrid w:val="0"/>
        <w:ind w:left="1896" w:leftChars="903"/>
        <w:rPr>
          <w:rFonts w:ascii="Times New Roman" w:hAnsi="Times New Roman" w:cs="Times New Roman"/>
          <w:sz w:val="32"/>
          <w:szCs w:val="32"/>
        </w:rPr>
      </w:pPr>
    </w:p>
    <w:p>
      <w:pPr>
        <w:snapToGrid w:val="0"/>
        <w:ind w:firstLine="3040" w:firstLineChars="950"/>
        <w:rPr>
          <w:rFonts w:ascii="Times New Roman" w:hAnsi="Times New Roman" w:cs="Times New Roman"/>
          <w:sz w:val="32"/>
          <w:szCs w:val="32"/>
        </w:rPr>
      </w:pPr>
      <w:r>
        <w:rPr>
          <w:rFonts w:ascii="Times New Roman" w:hAnsi="Times New Roman" w:eastAsia="黑体" w:cs="Times New Roman"/>
          <w:sz w:val="32"/>
          <w:szCs w:val="32"/>
        </w:rPr>
        <w:t>日期</w:t>
      </w:r>
      <w:r>
        <w:rPr>
          <w:rFonts w:ascii="Times New Roman" w:hAnsi="Times New Roman" w:cs="Times New Roman"/>
          <w:sz w:val="32"/>
          <w:szCs w:val="32"/>
        </w:rPr>
        <w:t>：</w:t>
      </w:r>
      <w:r>
        <w:rPr>
          <w:rFonts w:hint="eastAsia" w:ascii="Times New Roman" w:hAnsi="Times New Roman" w:eastAsia="黑体" w:cs="Times New Roman"/>
          <w:sz w:val="32"/>
          <w:szCs w:val="32"/>
          <w:u w:val="single"/>
        </w:rPr>
        <w:t>2021</w:t>
      </w:r>
      <w:r>
        <w:rPr>
          <w:rFonts w:ascii="Times New Roman" w:hAnsi="Times New Roman" w:cs="Times New Roman"/>
          <w:sz w:val="32"/>
          <w:szCs w:val="32"/>
        </w:rPr>
        <w:t>年</w:t>
      </w:r>
      <w:r>
        <w:rPr>
          <w:rFonts w:hint="eastAsia" w:ascii="Times New Roman" w:hAnsi="Times New Roman" w:eastAsia="黑体" w:cs="Times New Roman"/>
          <w:sz w:val="32"/>
          <w:szCs w:val="32"/>
          <w:u w:val="single"/>
          <w:lang w:val="en-US" w:eastAsia="zh-CN"/>
        </w:rPr>
        <w:t>5</w:t>
      </w:r>
      <w:r>
        <w:rPr>
          <w:rFonts w:ascii="Times New Roman" w:hAnsi="Times New Roman" w:cs="Times New Roman"/>
          <w:sz w:val="32"/>
          <w:szCs w:val="32"/>
        </w:rPr>
        <w:t>月</w:t>
      </w:r>
      <w:r>
        <w:rPr>
          <w:rFonts w:hint="eastAsia" w:ascii="Times New Roman" w:hAnsi="Times New Roman" w:eastAsia="黑体" w:cs="Times New Roman"/>
          <w:sz w:val="32"/>
          <w:szCs w:val="32"/>
          <w:u w:val="single"/>
          <w:lang w:val="en-US" w:eastAsia="zh-CN"/>
        </w:rPr>
        <w:t>8</w:t>
      </w:r>
      <w:bookmarkStart w:id="61" w:name="_GoBack"/>
      <w:bookmarkEnd w:id="61"/>
      <w:r>
        <w:rPr>
          <w:rFonts w:ascii="Times New Roman" w:hAnsi="Times New Roman" w:cs="Times New Roman"/>
          <w:sz w:val="32"/>
          <w:szCs w:val="32"/>
        </w:rPr>
        <w:t>日</w:t>
      </w:r>
    </w:p>
    <w:p>
      <w:pPr>
        <w:ind w:left="1896" w:leftChars="903"/>
        <w:rPr>
          <w:rFonts w:ascii="Times New Roman" w:hAnsi="Times New Roman" w:eastAsia="宋体" w:cs="Times New Roman"/>
          <w:sz w:val="24"/>
        </w:rPr>
        <w:sectPr>
          <w:headerReference r:id="rId3" w:type="default"/>
          <w:pgSz w:w="11906" w:h="16838"/>
          <w:pgMar w:top="1440" w:right="1800" w:bottom="1440" w:left="1800" w:header="851" w:footer="992" w:gutter="0"/>
          <w:cols w:space="425" w:num="1"/>
          <w:docGrid w:type="lines" w:linePitch="312" w:charSpace="0"/>
        </w:sectPr>
      </w:pPr>
    </w:p>
    <w:sdt>
      <w:sdtPr>
        <w:rPr>
          <w:rFonts w:ascii="宋体" w:hAnsi="宋体" w:eastAsia="宋体"/>
          <w:kern w:val="0"/>
          <w:sz w:val="20"/>
          <w:szCs w:val="20"/>
        </w:rPr>
        <w:id w:val="-1667929930"/>
        <w:docPartObj>
          <w:docPartGallery w:val="Table of Contents"/>
          <w:docPartUnique/>
        </w:docPartObj>
      </w:sdtPr>
      <w:sdtEndPr>
        <w:rPr>
          <w:rFonts w:ascii="Times New Roman" w:hAnsi="Times New Roman" w:eastAsia="宋体" w:cs="Times New Roman"/>
          <w:kern w:val="0"/>
          <w:sz w:val="28"/>
          <w:szCs w:val="28"/>
        </w:rPr>
      </w:sdtEndPr>
      <w:sdtContent>
        <w:p>
          <w:pPr>
            <w:jc w:val="center"/>
            <w:rPr>
              <w:rFonts w:ascii="Times New Roman" w:hAnsi="Times New Roman" w:cs="Times New Roman"/>
              <w:sz w:val="28"/>
              <w:szCs w:val="28"/>
            </w:rPr>
          </w:pPr>
          <w:r>
            <w:rPr>
              <w:rFonts w:ascii="Times New Roman" w:hAnsi="Times New Roman" w:eastAsia="宋体" w:cs="Times New Roman"/>
              <w:sz w:val="28"/>
              <w:szCs w:val="28"/>
            </w:rPr>
            <w:t>目录</w:t>
          </w:r>
        </w:p>
        <w:p>
          <w:pPr>
            <w:pStyle w:val="47"/>
            <w:tabs>
              <w:tab w:val="right" w:leader="dot" w:pos="8312"/>
            </w:tabs>
            <w:rPr>
              <w:rFonts w:ascii="Times New Roman" w:hAnsi="Times New Roman" w:cs="Times New Roman"/>
              <w:sz w:val="28"/>
              <w:szCs w:val="28"/>
            </w:rPr>
          </w:pPr>
          <w:r>
            <w:fldChar w:fldCharType="begin"/>
          </w:r>
          <w:r>
            <w:instrText xml:space="preserve"> HYPERLINK \l "_Toc24919_WPSOffice_Level1" </w:instrText>
          </w:r>
          <w:r>
            <w:fldChar w:fldCharType="separate"/>
          </w:r>
          <w:sdt>
            <w:sdtPr>
              <w:rPr>
                <w:rFonts w:ascii="Times New Roman" w:hAnsi="Times New Roman" w:cs="Times New Roman"/>
                <w:sz w:val="28"/>
                <w:szCs w:val="28"/>
              </w:rPr>
              <w:id w:val="147482124"/>
            </w:sdtPr>
            <w:sdtEndPr>
              <w:rPr>
                <w:rFonts w:ascii="Times New Roman" w:hAnsi="Times New Roman" w:cs="Times New Roman"/>
                <w:sz w:val="28"/>
                <w:szCs w:val="28"/>
              </w:rPr>
            </w:sdtEndPr>
            <w:sdtContent>
              <w:r>
                <w:rPr>
                  <w:rFonts w:ascii="Times New Roman" w:hAnsi="Times New Roman" w:eastAsia="宋体" w:cs="Times New Roman"/>
                  <w:sz w:val="28"/>
                  <w:szCs w:val="28"/>
                </w:rPr>
                <w:t>第一章采购公告（适用于公开询比）</w:t>
              </w:r>
            </w:sdtContent>
          </w:sdt>
          <w:r>
            <w:rPr>
              <w:rFonts w:ascii="Times New Roman" w:hAnsi="Times New Roman" w:cs="Times New Roman"/>
              <w:sz w:val="28"/>
              <w:szCs w:val="28"/>
            </w:rPr>
            <w:tab/>
          </w:r>
          <w:r>
            <w:rPr>
              <w:rFonts w:hint="eastAsia" w:ascii="Times New Roman" w:hAnsi="Times New Roman" w:cs="Times New Roman"/>
              <w:sz w:val="28"/>
              <w:szCs w:val="28"/>
            </w:rPr>
            <w:t>3</w:t>
          </w:r>
          <w:r>
            <w:rPr>
              <w:rFonts w:hint="eastAsia" w:ascii="Times New Roman" w:hAnsi="Times New Roman" w:cs="Times New Roman"/>
              <w:sz w:val="28"/>
              <w:szCs w:val="28"/>
            </w:rPr>
            <w:fldChar w:fldCharType="end"/>
          </w:r>
          <w:r>
            <w:fldChar w:fldCharType="begin"/>
          </w:r>
          <w:r>
            <w:instrText xml:space="preserve"> HYPERLINK \l "_Toc16113_WPSOffice_Level1" </w:instrText>
          </w:r>
          <w:r>
            <w:fldChar w:fldCharType="separate"/>
          </w:r>
          <w:r>
            <w:fldChar w:fldCharType="end"/>
          </w:r>
        </w:p>
        <w:p>
          <w:pPr>
            <w:pStyle w:val="47"/>
            <w:tabs>
              <w:tab w:val="right" w:leader="dot" w:pos="8312"/>
            </w:tabs>
            <w:rPr>
              <w:rFonts w:ascii="Times New Roman" w:hAnsi="Times New Roman" w:cs="Times New Roman"/>
              <w:sz w:val="28"/>
              <w:szCs w:val="28"/>
            </w:rPr>
          </w:pPr>
          <w:r>
            <w:fldChar w:fldCharType="begin"/>
          </w:r>
          <w:r>
            <w:instrText xml:space="preserve"> HYPERLINK \l "_Toc12694_WPSOffice_Level1" </w:instrText>
          </w:r>
          <w:r>
            <w:fldChar w:fldCharType="separate"/>
          </w:r>
          <w:sdt>
            <w:sdtPr>
              <w:rPr>
                <w:rFonts w:ascii="Times New Roman" w:hAnsi="Times New Roman" w:cs="Times New Roman"/>
                <w:kern w:val="2"/>
                <w:sz w:val="28"/>
                <w:szCs w:val="28"/>
              </w:rPr>
              <w:id w:val="-210500264"/>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第二章供应商须知</w:t>
              </w:r>
            </w:sdtContent>
          </w:sdt>
          <w:r>
            <w:rPr>
              <w:rFonts w:ascii="Times New Roman" w:hAnsi="Times New Roman" w:cs="Times New Roman"/>
              <w:sz w:val="28"/>
              <w:szCs w:val="28"/>
            </w:rPr>
            <w:tab/>
          </w:r>
          <w:r>
            <w:rPr>
              <w:rFonts w:hint="eastAsia" w:ascii="Times New Roman" w:hAnsi="Times New Roman" w:cs="Times New Roman"/>
              <w:sz w:val="28"/>
              <w:szCs w:val="28"/>
            </w:rPr>
            <w:t>6</w:t>
          </w:r>
          <w:r>
            <w:rPr>
              <w:rFonts w:hint="eastAsia" w:ascii="Times New Roman" w:hAnsi="Times New Roman" w:cs="Times New Roman"/>
              <w:sz w:val="28"/>
              <w:szCs w:val="28"/>
            </w:rPr>
            <w:fldChar w:fldCharType="end"/>
          </w:r>
        </w:p>
        <w:p>
          <w:pPr>
            <w:pStyle w:val="47"/>
            <w:tabs>
              <w:tab w:val="right" w:leader="dot" w:pos="8312"/>
            </w:tabs>
            <w:rPr>
              <w:rFonts w:ascii="Times New Roman" w:hAnsi="Times New Roman" w:cs="Times New Roman"/>
              <w:sz w:val="28"/>
              <w:szCs w:val="28"/>
            </w:rPr>
          </w:pPr>
          <w:r>
            <w:fldChar w:fldCharType="begin"/>
          </w:r>
          <w:r>
            <w:instrText xml:space="preserve"> HYPERLINK \l "_Toc25593_WPSOffice_Level1" </w:instrText>
          </w:r>
          <w:r>
            <w:fldChar w:fldCharType="separate"/>
          </w:r>
          <w:sdt>
            <w:sdtPr>
              <w:rPr>
                <w:rFonts w:ascii="Times New Roman" w:hAnsi="Times New Roman" w:cs="Times New Roman"/>
                <w:kern w:val="2"/>
                <w:sz w:val="28"/>
                <w:szCs w:val="28"/>
              </w:rPr>
              <w:id w:val="985659603"/>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第三章评审办法</w:t>
              </w:r>
            </w:sdtContent>
          </w:sdt>
          <w:r>
            <w:rPr>
              <w:rFonts w:ascii="Times New Roman" w:hAnsi="Times New Roman" w:cs="Times New Roman"/>
              <w:sz w:val="28"/>
              <w:szCs w:val="28"/>
            </w:rPr>
            <w:tab/>
          </w:r>
          <w:bookmarkStart w:id="0" w:name="_Toc25593_WPSOffice_Level1Page"/>
          <w:r>
            <w:rPr>
              <w:rFonts w:ascii="Times New Roman" w:hAnsi="Times New Roman" w:cs="Times New Roman"/>
              <w:sz w:val="28"/>
              <w:szCs w:val="28"/>
            </w:rPr>
            <w:t>1</w:t>
          </w:r>
          <w:bookmarkEnd w:id="0"/>
          <w:r>
            <w:rPr>
              <w:rFonts w:hint="eastAsia" w:ascii="Times New Roman" w:hAnsi="Times New Roman" w:cs="Times New Roman"/>
              <w:sz w:val="28"/>
              <w:szCs w:val="28"/>
            </w:rPr>
            <w:t>2</w:t>
          </w:r>
          <w:r>
            <w:rPr>
              <w:rFonts w:hint="eastAsia" w:ascii="Times New Roman" w:hAnsi="Times New Roman" w:cs="Times New Roman"/>
              <w:sz w:val="28"/>
              <w:szCs w:val="28"/>
            </w:rPr>
            <w:fldChar w:fldCharType="end"/>
          </w:r>
        </w:p>
        <w:p>
          <w:pPr>
            <w:pStyle w:val="47"/>
            <w:tabs>
              <w:tab w:val="right" w:leader="dot" w:pos="8312"/>
            </w:tabs>
            <w:rPr>
              <w:rFonts w:ascii="Times New Roman" w:hAnsi="Times New Roman" w:cs="Times New Roman"/>
              <w:sz w:val="28"/>
              <w:szCs w:val="28"/>
            </w:rPr>
          </w:pPr>
          <w:r>
            <w:fldChar w:fldCharType="begin"/>
          </w:r>
          <w:r>
            <w:instrText xml:space="preserve"> HYPERLINK \l "_Toc17480_WPSOffice_Level1" </w:instrText>
          </w:r>
          <w:r>
            <w:fldChar w:fldCharType="separate"/>
          </w:r>
          <w:sdt>
            <w:sdtPr>
              <w:rPr>
                <w:rFonts w:ascii="Times New Roman" w:hAnsi="Times New Roman" w:cs="Times New Roman"/>
                <w:kern w:val="2"/>
                <w:sz w:val="28"/>
                <w:szCs w:val="28"/>
              </w:rPr>
              <w:id w:val="503554380"/>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第四章合同内容</w:t>
              </w:r>
            </w:sdtContent>
          </w:sdt>
          <w:r>
            <w:rPr>
              <w:rFonts w:ascii="Times New Roman" w:hAnsi="Times New Roman" w:cs="Times New Roman"/>
              <w:sz w:val="28"/>
              <w:szCs w:val="28"/>
            </w:rPr>
            <w:tab/>
          </w:r>
          <w:r>
            <w:rPr>
              <w:rFonts w:hint="eastAsia" w:ascii="Times New Roman" w:hAnsi="Times New Roman" w:cs="Times New Roman"/>
              <w:sz w:val="28"/>
              <w:szCs w:val="28"/>
            </w:rPr>
            <w:t>20</w:t>
          </w:r>
          <w:r>
            <w:rPr>
              <w:rFonts w:hint="eastAsia" w:ascii="Times New Roman" w:hAnsi="Times New Roman" w:cs="Times New Roman"/>
              <w:sz w:val="28"/>
              <w:szCs w:val="28"/>
            </w:rPr>
            <w:fldChar w:fldCharType="end"/>
          </w:r>
        </w:p>
        <w:p>
          <w:pPr>
            <w:pStyle w:val="47"/>
            <w:tabs>
              <w:tab w:val="right" w:leader="dot" w:pos="8312"/>
            </w:tabs>
            <w:rPr>
              <w:rFonts w:ascii="Times New Roman" w:hAnsi="Times New Roman" w:cs="Times New Roman"/>
              <w:sz w:val="28"/>
              <w:szCs w:val="28"/>
            </w:rPr>
          </w:pPr>
          <w:r>
            <w:fldChar w:fldCharType="begin"/>
          </w:r>
          <w:r>
            <w:instrText xml:space="preserve"> HYPERLINK \l "_Toc14756_WPSOffice_Level1" </w:instrText>
          </w:r>
          <w:r>
            <w:fldChar w:fldCharType="separate"/>
          </w:r>
          <w:sdt>
            <w:sdtPr>
              <w:rPr>
                <w:rFonts w:ascii="Times New Roman" w:hAnsi="Times New Roman" w:cs="Times New Roman"/>
                <w:kern w:val="2"/>
                <w:sz w:val="28"/>
                <w:szCs w:val="28"/>
              </w:rPr>
              <w:id w:val="1256331353"/>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第五章采购需求及清单</w:t>
              </w:r>
            </w:sdtContent>
          </w:sdt>
          <w:r>
            <w:rPr>
              <w:rFonts w:ascii="Times New Roman" w:hAnsi="Times New Roman" w:cs="Times New Roman"/>
              <w:sz w:val="28"/>
              <w:szCs w:val="28"/>
            </w:rPr>
            <w:tab/>
          </w:r>
          <w:r>
            <w:rPr>
              <w:rFonts w:hint="eastAsia" w:ascii="Times New Roman" w:hAnsi="Times New Roman" w:cs="Times New Roman"/>
              <w:sz w:val="28"/>
              <w:szCs w:val="28"/>
            </w:rPr>
            <w:t>25</w:t>
          </w:r>
          <w:r>
            <w:rPr>
              <w:rFonts w:hint="eastAsia" w:ascii="Times New Roman" w:hAnsi="Times New Roman" w:cs="Times New Roman"/>
              <w:sz w:val="28"/>
              <w:szCs w:val="28"/>
            </w:rPr>
            <w:fldChar w:fldCharType="end"/>
          </w:r>
        </w:p>
        <w:p>
          <w:pPr>
            <w:pStyle w:val="47"/>
            <w:tabs>
              <w:tab w:val="right" w:leader="dot" w:pos="8312"/>
            </w:tabs>
            <w:rPr>
              <w:rFonts w:ascii="Times New Roman" w:hAnsi="Times New Roman" w:cs="Times New Roman"/>
              <w:sz w:val="28"/>
              <w:szCs w:val="28"/>
            </w:rPr>
          </w:pPr>
          <w:r>
            <w:fldChar w:fldCharType="begin"/>
          </w:r>
          <w:r>
            <w:instrText xml:space="preserve"> HYPERLINK \l "_Toc24739_WPSOffice_Level1" </w:instrText>
          </w:r>
          <w:r>
            <w:fldChar w:fldCharType="separate"/>
          </w:r>
          <w:sdt>
            <w:sdtPr>
              <w:rPr>
                <w:rFonts w:ascii="Times New Roman" w:hAnsi="Times New Roman" w:cs="Times New Roman"/>
                <w:kern w:val="2"/>
                <w:sz w:val="28"/>
                <w:szCs w:val="28"/>
              </w:rPr>
              <w:id w:val="1499542851"/>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第六章响应文件格式</w:t>
              </w:r>
            </w:sdtContent>
          </w:sdt>
          <w:r>
            <w:rPr>
              <w:rFonts w:ascii="Times New Roman" w:hAnsi="Times New Roman" w:cs="Times New Roman"/>
              <w:sz w:val="28"/>
              <w:szCs w:val="28"/>
            </w:rPr>
            <w:tab/>
          </w:r>
          <w:r>
            <w:rPr>
              <w:rFonts w:hint="eastAsia" w:ascii="Times New Roman" w:hAnsi="Times New Roman" w:cs="Times New Roman"/>
              <w:sz w:val="28"/>
              <w:szCs w:val="28"/>
            </w:rPr>
            <w:t>28</w:t>
          </w:r>
          <w:r>
            <w:rPr>
              <w:rFonts w:hint="eastAsia" w:ascii="Times New Roman" w:hAnsi="Times New Roman" w:cs="Times New Roman"/>
              <w:sz w:val="28"/>
              <w:szCs w:val="28"/>
            </w:rPr>
            <w:fldChar w:fldCharType="end"/>
          </w:r>
        </w:p>
        <w:p>
          <w:pPr>
            <w:pStyle w:val="47"/>
            <w:tabs>
              <w:tab w:val="right" w:leader="dot" w:pos="8312"/>
            </w:tabs>
            <w:rPr>
              <w:rFonts w:ascii="Times New Roman" w:hAnsi="Times New Roman" w:cs="Times New Roman"/>
              <w:sz w:val="28"/>
              <w:szCs w:val="28"/>
            </w:rPr>
          </w:pPr>
        </w:p>
      </w:sdtContent>
    </w:sdt>
    <w:p>
      <w:pPr>
        <w:pStyle w:val="3"/>
        <w:numPr>
          <w:ilvl w:val="0"/>
          <w:numId w:val="0"/>
        </w:numPr>
        <w:tabs>
          <w:tab w:val="left" w:pos="0"/>
          <w:tab w:val="clear" w:pos="4701"/>
        </w:tabs>
        <w:spacing w:before="312" w:after="312"/>
        <w:rPr>
          <w:rFonts w:ascii="Times New Roman" w:hAnsi="Times New Roman" w:eastAsia="宋体" w:cs="Times New Roman"/>
        </w:rPr>
      </w:pPr>
      <w:r>
        <w:rPr>
          <w:rFonts w:ascii="Times New Roman" w:hAnsi="Times New Roman" w:eastAsia="宋体" w:cs="Times New Roman"/>
        </w:rPr>
        <w:br w:type="page"/>
      </w:r>
      <w:bookmarkStart w:id="1" w:name="_Toc24919_WPSOffice_Level1"/>
      <w:r>
        <w:rPr>
          <w:rFonts w:hint="eastAsia" w:ascii="Times New Roman" w:hAnsi="Times New Roman" w:eastAsia="宋体" w:cs="Times New Roman"/>
        </w:rPr>
        <w:t>第一章</w:t>
      </w:r>
      <w:bookmarkStart w:id="2" w:name="_Toc6425_WPSOffice_Level1"/>
      <w:r>
        <w:rPr>
          <w:rFonts w:hint="eastAsia" w:ascii="Times New Roman" w:hAnsi="Times New Roman" w:eastAsia="宋体" w:cs="宋体"/>
        </w:rPr>
        <w:t>采购公告（适用于公开询比）</w:t>
      </w:r>
      <w:bookmarkEnd w:id="2"/>
    </w:p>
    <w:bookmarkEnd w:id="1"/>
    <w:p>
      <w:pPr>
        <w:spacing w:line="360" w:lineRule="auto"/>
        <w:ind w:firstLine="327" w:firstLineChars="149"/>
        <w:rPr>
          <w:rFonts w:ascii="Times New Roman" w:hAnsi="Times New Roman" w:eastAsia="黑体" w:cs="Times New Roman"/>
          <w:b/>
          <w:bCs/>
          <w:sz w:val="22"/>
          <w:szCs w:val="15"/>
        </w:rPr>
      </w:pPr>
      <w:bookmarkStart w:id="3" w:name="_Toc525632585"/>
      <w:bookmarkStart w:id="4" w:name="_Toc12765"/>
      <w:bookmarkStart w:id="5" w:name="_Toc4489_WPSOffice_Level2"/>
      <w:bookmarkStart w:id="6" w:name="_Toc6496_WPSOffice_Level2"/>
      <w:bookmarkStart w:id="7" w:name="_Toc10395_WPSOffice_Level2"/>
      <w:bookmarkStart w:id="8" w:name="_Toc24354_WPSOffice_Level2"/>
      <w:bookmarkStart w:id="9" w:name="_Toc13871"/>
      <w:r>
        <w:rPr>
          <w:rFonts w:hint="eastAsia" w:ascii="Times New Roman" w:hAnsi="Times New Roman" w:eastAsia="黑体" w:cs="Times New Roman"/>
          <w:b/>
          <w:bCs/>
          <w:sz w:val="22"/>
          <w:szCs w:val="15"/>
        </w:rPr>
        <w:t>1.</w:t>
      </w:r>
      <w:r>
        <w:rPr>
          <w:rFonts w:ascii="Times New Roman" w:hAnsi="Times New Roman" w:eastAsia="黑体" w:cs="Times New Roman"/>
          <w:b/>
          <w:bCs/>
          <w:sz w:val="22"/>
          <w:szCs w:val="15"/>
        </w:rPr>
        <w:t>项目简介</w:t>
      </w:r>
      <w:bookmarkEnd w:id="3"/>
      <w:bookmarkEnd w:id="4"/>
      <w:bookmarkEnd w:id="5"/>
      <w:bookmarkEnd w:id="6"/>
      <w:bookmarkEnd w:id="7"/>
      <w:bookmarkEnd w:id="8"/>
      <w:bookmarkEnd w:id="9"/>
    </w:p>
    <w:p>
      <w:pPr>
        <w:snapToGrid w:val="0"/>
        <w:spacing w:line="360" w:lineRule="auto"/>
        <w:ind w:firstLine="420" w:firstLineChars="200"/>
        <w:rPr>
          <w:rFonts w:ascii="Times New Roman" w:hAnsi="Times New Roman" w:cs="Times New Roman"/>
          <w:szCs w:val="22"/>
          <w:u w:val="single"/>
        </w:rPr>
      </w:pPr>
      <w:r>
        <w:rPr>
          <w:rFonts w:ascii="Times New Roman" w:hAnsi="Times New Roman" w:cs="Times New Roman"/>
          <w:szCs w:val="22"/>
        </w:rPr>
        <w:t>1.1 项目名称：</w:t>
      </w:r>
      <w:r>
        <w:rPr>
          <w:rFonts w:hint="eastAsia" w:ascii="Times New Roman" w:hAnsi="Times New Roman" w:cs="Times New Roman"/>
          <w:szCs w:val="22"/>
          <w:u w:val="single"/>
        </w:rPr>
        <w:t>安徽省</w:t>
      </w:r>
      <w:r>
        <w:rPr>
          <w:rFonts w:hint="eastAsia" w:ascii="Times New Roman" w:hAnsi="Times New Roman" w:cs="Times New Roman"/>
          <w:szCs w:val="22"/>
          <w:u w:val="single"/>
          <w:lang w:val="en-US" w:eastAsia="zh-CN"/>
        </w:rPr>
        <w:t>经工建设集团有限公司</w:t>
      </w:r>
      <w:r>
        <w:rPr>
          <w:rFonts w:hint="eastAsia" w:ascii="Times New Roman" w:hAnsi="Times New Roman" w:cs="Times New Roman"/>
          <w:szCs w:val="22"/>
          <w:u w:val="single"/>
        </w:rPr>
        <w:t>内控体系建设项目</w:t>
      </w:r>
    </w:p>
    <w:p>
      <w:pPr>
        <w:snapToGrid w:val="0"/>
        <w:spacing w:line="360" w:lineRule="auto"/>
        <w:ind w:firstLine="420" w:firstLineChars="200"/>
        <w:rPr>
          <w:rFonts w:hint="eastAsia" w:ascii="Times New Roman" w:hAnsi="Times New Roman" w:cs="Times New Roman" w:eastAsiaTheme="minorEastAsia"/>
          <w:szCs w:val="22"/>
          <w:lang w:eastAsia="zh-CN"/>
        </w:rPr>
      </w:pPr>
      <w:r>
        <w:rPr>
          <w:rFonts w:ascii="Times New Roman" w:hAnsi="Times New Roman" w:cs="Times New Roman"/>
          <w:szCs w:val="22"/>
        </w:rPr>
        <w:t>1.2 采购人：</w:t>
      </w:r>
      <w:r>
        <w:rPr>
          <w:rFonts w:hint="eastAsia" w:ascii="Times New Roman" w:hAnsi="Times New Roman" w:cs="Times New Roman"/>
          <w:szCs w:val="22"/>
          <w:u w:val="single"/>
          <w:lang w:eastAsia="zh-CN"/>
        </w:rPr>
        <w:t>安徽省经工建设集团有限公司</w:t>
      </w:r>
    </w:p>
    <w:p>
      <w:pPr>
        <w:snapToGrid w:val="0"/>
        <w:spacing w:line="360" w:lineRule="auto"/>
        <w:ind w:firstLine="420" w:firstLineChars="200"/>
        <w:rPr>
          <w:rFonts w:ascii="Times New Roman" w:hAnsi="Times New Roman" w:cs="Times New Roman"/>
          <w:szCs w:val="22"/>
          <w:u w:val="single"/>
        </w:rPr>
      </w:pPr>
      <w:r>
        <w:rPr>
          <w:rFonts w:ascii="Times New Roman" w:hAnsi="Times New Roman" w:cs="Times New Roman"/>
          <w:szCs w:val="22"/>
        </w:rPr>
        <w:t>1.3 项目概况：</w:t>
      </w:r>
      <w:r>
        <w:rPr>
          <w:rFonts w:hint="eastAsia" w:ascii="Times New Roman" w:hAnsi="Times New Roman" w:cs="Times New Roman"/>
          <w:szCs w:val="22"/>
          <w:u w:val="single"/>
        </w:rPr>
        <w:t>鉴于</w:t>
      </w:r>
      <w:r>
        <w:rPr>
          <w:rFonts w:hint="eastAsia" w:ascii="Times New Roman" w:hAnsi="Times New Roman" w:cs="Times New Roman"/>
          <w:szCs w:val="22"/>
          <w:u w:val="single"/>
          <w:lang w:eastAsia="zh-CN"/>
        </w:rPr>
        <w:t>安徽省经工建设集团有限公司</w:t>
      </w:r>
      <w:r>
        <w:rPr>
          <w:rFonts w:hint="eastAsia" w:ascii="Times New Roman" w:hAnsi="Times New Roman" w:cs="Times New Roman"/>
          <w:szCs w:val="22"/>
          <w:u w:val="single"/>
        </w:rPr>
        <w:t>（以下简称“</w:t>
      </w:r>
      <w:r>
        <w:rPr>
          <w:rFonts w:hint="eastAsia" w:ascii="Times New Roman" w:hAnsi="Times New Roman" w:cs="Times New Roman"/>
          <w:szCs w:val="22"/>
          <w:u w:val="single"/>
          <w:lang w:eastAsia="zh-CN"/>
        </w:rPr>
        <w:t>经工集团</w:t>
      </w:r>
      <w:r>
        <w:rPr>
          <w:rFonts w:hint="eastAsia" w:ascii="Times New Roman" w:hAnsi="Times New Roman" w:cs="Times New Roman"/>
          <w:szCs w:val="22"/>
          <w:u w:val="single"/>
        </w:rPr>
        <w:t>”）内部控制与风险管理的需要，进一步建立健全风险管理及内控体系，按照财政部等五部门《企业内部控制基本规范》和配套指引及《关于印发&lt;安徽交控集团关于加强内部控制体系建设与监督工作的实施意见&gt;的通知》（皖交控发〔2020〕11 号）的相关要求，构建以风险管理为导向、合规管理监督为重点，严格、规范、全面、有效的内控体系，现拟选聘一家第三方机构提供内控体系建设咨询服务。</w:t>
      </w:r>
      <w:bookmarkStart w:id="10" w:name="_Toc525632586"/>
      <w:bookmarkStart w:id="11" w:name="_Toc17858_WPSOffice_Level2"/>
      <w:bookmarkStart w:id="12" w:name="_Toc18367_WPSOffice_Level2"/>
      <w:bookmarkStart w:id="13" w:name="_Toc10274"/>
      <w:bookmarkStart w:id="14" w:name="_Toc23266_WPSOffice_Level2"/>
      <w:bookmarkStart w:id="15" w:name="_Toc8128_WPSOffice_Level2"/>
      <w:bookmarkStart w:id="16" w:name="_Toc18453"/>
    </w:p>
    <w:p>
      <w:pPr>
        <w:snapToGrid w:val="0"/>
        <w:spacing w:line="360" w:lineRule="auto"/>
        <w:ind w:firstLine="308" w:firstLineChars="147"/>
        <w:rPr>
          <w:rFonts w:ascii="Times New Roman" w:hAnsi="Times New Roman" w:eastAsia="宋体" w:cs="Times New Roman"/>
          <w:b/>
          <w:szCs w:val="22"/>
        </w:rPr>
      </w:pPr>
      <w:r>
        <w:rPr>
          <w:rFonts w:hint="eastAsia" w:ascii="Times New Roman" w:hAnsi="Times New Roman" w:cs="Times New Roman"/>
          <w:b/>
          <w:szCs w:val="22"/>
        </w:rPr>
        <w:t>2.</w:t>
      </w:r>
      <w:r>
        <w:rPr>
          <w:rFonts w:ascii="Times New Roman" w:hAnsi="Times New Roman" w:eastAsia="黑体" w:cs="Times New Roman"/>
          <w:b/>
          <w:sz w:val="22"/>
          <w:szCs w:val="15"/>
        </w:rPr>
        <w:t>采购说明</w:t>
      </w:r>
      <w:bookmarkEnd w:id="10"/>
      <w:bookmarkEnd w:id="11"/>
      <w:bookmarkEnd w:id="12"/>
      <w:bookmarkEnd w:id="13"/>
      <w:bookmarkEnd w:id="14"/>
      <w:bookmarkEnd w:id="15"/>
      <w:bookmarkEnd w:id="16"/>
    </w:p>
    <w:p>
      <w:pPr>
        <w:snapToGrid w:val="0"/>
        <w:spacing w:line="360" w:lineRule="auto"/>
        <w:ind w:firstLine="420" w:firstLineChars="200"/>
        <w:rPr>
          <w:rFonts w:ascii="Times New Roman" w:hAnsi="Times New Roman" w:cs="Times New Roman"/>
          <w:szCs w:val="22"/>
          <w:u w:val="single"/>
        </w:rPr>
      </w:pPr>
      <w:bookmarkStart w:id="17" w:name="_Toc4489_WPSOffice_Level3"/>
      <w:r>
        <w:rPr>
          <w:rFonts w:ascii="Times New Roman" w:hAnsi="Times New Roman" w:cs="Times New Roman"/>
          <w:szCs w:val="22"/>
        </w:rPr>
        <w:t>2.1 采购方式：</w:t>
      </w:r>
      <w:bookmarkEnd w:id="17"/>
      <w:r>
        <w:rPr>
          <w:rFonts w:ascii="Times New Roman" w:hAnsi="Times New Roman" w:cs="Times New Roman"/>
          <w:szCs w:val="22"/>
          <w:u w:val="single"/>
        </w:rPr>
        <w:t>公开询比采购</w:t>
      </w:r>
    </w:p>
    <w:p>
      <w:pPr>
        <w:snapToGrid w:val="0"/>
        <w:spacing w:line="360" w:lineRule="auto"/>
        <w:ind w:firstLine="420" w:firstLineChars="200"/>
        <w:rPr>
          <w:rFonts w:ascii="Times New Roman" w:hAnsi="Times New Roman" w:cs="Times New Roman"/>
          <w:szCs w:val="22"/>
          <w:u w:val="single"/>
        </w:rPr>
      </w:pPr>
      <w:bookmarkStart w:id="18" w:name="_Toc23266_WPSOffice_Level3"/>
      <w:r>
        <w:rPr>
          <w:rFonts w:ascii="Times New Roman" w:hAnsi="Times New Roman" w:cs="Times New Roman"/>
          <w:szCs w:val="22"/>
        </w:rPr>
        <w:t>2.2 资金来源及比例：</w:t>
      </w:r>
      <w:bookmarkEnd w:id="18"/>
      <w:bookmarkStart w:id="19" w:name="_Toc22379_WPSOffice_Level3"/>
      <w:r>
        <w:rPr>
          <w:rFonts w:ascii="Times New Roman" w:hAnsi="Times New Roman" w:cs="Times New Roman"/>
          <w:szCs w:val="22"/>
          <w:u w:val="single"/>
        </w:rPr>
        <w:t>企业自筹</w:t>
      </w:r>
    </w:p>
    <w:p>
      <w:pPr>
        <w:snapToGrid w:val="0"/>
        <w:spacing w:line="360" w:lineRule="auto"/>
        <w:ind w:firstLine="420" w:firstLineChars="200"/>
        <w:rPr>
          <w:rFonts w:cs="Times New Roman" w:asciiTheme="minorEastAsia" w:hAnsiTheme="minorEastAsia"/>
          <w:szCs w:val="21"/>
          <w:u w:val="single"/>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hint="eastAsia" w:ascii="Times New Roman" w:hAnsi="Times New Roman" w:cs="Times New Roman"/>
          <w:szCs w:val="22"/>
          <w:u w:val="single"/>
        </w:rPr>
        <w:t>根</w:t>
      </w:r>
      <w:r>
        <w:rPr>
          <w:rFonts w:cs="Times New Roman" w:asciiTheme="minorEastAsia" w:hAnsiTheme="minorEastAsia"/>
          <w:szCs w:val="21"/>
          <w:u w:val="single"/>
        </w:rPr>
        <w:t>据</w:t>
      </w:r>
      <w:r>
        <w:rPr>
          <w:rFonts w:hint="eastAsia" w:ascii="Times New Roman" w:hAnsi="Times New Roman" w:cs="Times New Roman"/>
          <w:szCs w:val="22"/>
          <w:u w:val="single"/>
          <w:lang w:eastAsia="zh-CN"/>
        </w:rPr>
        <w:t>安徽省经工建设集团有限公司</w:t>
      </w:r>
      <w:r>
        <w:rPr>
          <w:rFonts w:cs="Times New Roman" w:asciiTheme="minorEastAsia" w:hAnsiTheme="minorEastAsia"/>
          <w:szCs w:val="21"/>
          <w:u w:val="single"/>
        </w:rPr>
        <w:t>的战略定位，对组织管控模式、权责界面、授权体系、制度流程、风控体系规划、执行监督等维度进行梳理和优化，通过内部控制体系建设，完善风险控制措施，强化内部控制评价和监督，将内部控制、风险管理、合规管理工作有机结合,建立贯穿全公司、覆盖所有重点业务和流程、适合公司发展特点、与</w:t>
      </w:r>
      <w:r>
        <w:rPr>
          <w:rFonts w:hint="eastAsia" w:cs="Times New Roman" w:asciiTheme="minorEastAsia" w:hAnsiTheme="minorEastAsia"/>
          <w:szCs w:val="21"/>
          <w:u w:val="single"/>
        </w:rPr>
        <w:t>交控集团内</w:t>
      </w:r>
      <w:r>
        <w:rPr>
          <w:rFonts w:cs="Times New Roman" w:asciiTheme="minorEastAsia" w:hAnsiTheme="minorEastAsia"/>
          <w:szCs w:val="21"/>
          <w:u w:val="single"/>
        </w:rPr>
        <w:t>控体系建设要求相协调的内部控制体系</w:t>
      </w:r>
      <w:r>
        <w:rPr>
          <w:rFonts w:hint="eastAsia" w:cs="Times New Roman" w:asciiTheme="minorEastAsia" w:hAnsiTheme="minorEastAsia"/>
          <w:szCs w:val="21"/>
          <w:u w:val="single"/>
        </w:rPr>
        <w:t>。</w:t>
      </w:r>
    </w:p>
    <w:p>
      <w:pPr>
        <w:snapToGrid w:val="0"/>
        <w:spacing w:line="360" w:lineRule="auto"/>
        <w:ind w:firstLine="420" w:firstLineChars="200"/>
        <w:rPr>
          <w:rFonts w:ascii="Times New Roman" w:hAnsi="Times New Roman" w:cs="Times New Roman"/>
          <w:szCs w:val="22"/>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hint="eastAsia" w:ascii="Times New Roman" w:hAnsi="Times New Roman" w:cs="Times New Roman"/>
          <w:szCs w:val="22"/>
          <w:u w:val="single"/>
        </w:rPr>
        <w:t>共1个合同包</w:t>
      </w:r>
    </w:p>
    <w:p>
      <w:pPr>
        <w:snapToGrid w:val="0"/>
        <w:spacing w:line="360" w:lineRule="auto"/>
        <w:ind w:firstLine="420" w:firstLineChars="200"/>
        <w:rPr>
          <w:rFonts w:ascii="Times New Roman" w:hAnsi="Times New Roman" w:cs="Times New Roman"/>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最高限价：</w:t>
      </w:r>
      <w:bookmarkEnd w:id="19"/>
      <w:r>
        <w:rPr>
          <w:rFonts w:hint="eastAsia" w:ascii="Times New Roman" w:hAnsi="Times New Roman" w:cs="Times New Roman"/>
          <w:szCs w:val="22"/>
          <w:u w:val="single"/>
          <w:lang w:val="en-US" w:eastAsia="zh-CN"/>
        </w:rPr>
        <w:t>28</w:t>
      </w:r>
      <w:r>
        <w:rPr>
          <w:rFonts w:hint="eastAsia" w:ascii="Times New Roman" w:hAnsi="Times New Roman" w:cs="Times New Roman"/>
          <w:szCs w:val="22"/>
          <w:u w:val="single"/>
        </w:rPr>
        <w:t>万元，报价超过最高限价将不被接受。</w:t>
      </w:r>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2.6 计划服务期：</w:t>
      </w:r>
      <w:r>
        <w:rPr>
          <w:rFonts w:ascii="Times New Roman" w:hAnsi="Times New Roman" w:cs="Times New Roman"/>
          <w:szCs w:val="22"/>
          <w:u w:val="single"/>
        </w:rPr>
        <w:t>计划服务期</w:t>
      </w:r>
      <w:r>
        <w:rPr>
          <w:rFonts w:hint="eastAsia" w:ascii="Times New Roman" w:hAnsi="Times New Roman" w:cs="Times New Roman"/>
          <w:szCs w:val="22"/>
          <w:u w:val="single"/>
        </w:rPr>
        <w:t>3个月,自合同签订之日起计</w:t>
      </w:r>
      <w:r>
        <w:rPr>
          <w:rFonts w:ascii="Times New Roman" w:hAnsi="Times New Roman" w:cs="Times New Roman"/>
          <w:szCs w:val="22"/>
        </w:rPr>
        <w:t>。</w:t>
      </w:r>
      <w:bookmarkStart w:id="20" w:name="_Toc31673_WPSOffice_Level2"/>
      <w:bookmarkStart w:id="21" w:name="_Toc6388"/>
      <w:bookmarkStart w:id="22" w:name="_Toc525632587"/>
      <w:bookmarkStart w:id="23" w:name="_Toc22379_WPSOffice_Level2"/>
      <w:bookmarkStart w:id="24" w:name="_Toc1622_WPSOffice_Level2"/>
      <w:bookmarkStart w:id="25" w:name="_Toc29516_WPSOffice_Level2"/>
      <w:bookmarkStart w:id="26" w:name="_Toc3714"/>
    </w:p>
    <w:p>
      <w:pPr>
        <w:snapToGrid w:val="0"/>
        <w:spacing w:line="360" w:lineRule="auto"/>
        <w:ind w:firstLine="420" w:firstLineChars="200"/>
        <w:rPr>
          <w:rFonts w:ascii="Times New Roman" w:hAnsi="Times New Roman" w:cs="Times New Roman"/>
          <w:b/>
          <w:szCs w:val="22"/>
        </w:rPr>
      </w:pPr>
      <w:r>
        <w:rPr>
          <w:rFonts w:hint="eastAsia" w:ascii="Times New Roman" w:hAnsi="Times New Roman" w:cs="Times New Roman"/>
          <w:b/>
          <w:szCs w:val="22"/>
        </w:rPr>
        <w:t>3.</w:t>
      </w:r>
      <w:r>
        <w:rPr>
          <w:rFonts w:ascii="Times New Roman" w:hAnsi="Times New Roman" w:eastAsia="黑体" w:cs="Times New Roman"/>
          <w:b/>
          <w:sz w:val="22"/>
          <w:szCs w:val="15"/>
        </w:rPr>
        <w:t>供应商资格条件</w:t>
      </w:r>
      <w:bookmarkEnd w:id="20"/>
      <w:bookmarkEnd w:id="21"/>
      <w:bookmarkEnd w:id="22"/>
      <w:bookmarkEnd w:id="23"/>
      <w:bookmarkEnd w:id="24"/>
      <w:bookmarkEnd w:id="25"/>
      <w:bookmarkEnd w:id="26"/>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（1）资质最低要求：</w:t>
      </w:r>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①具备独立法人资格，持有有效的营业执照；</w:t>
      </w:r>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②具备</w:t>
      </w:r>
      <w:r>
        <w:rPr>
          <w:rFonts w:hint="eastAsia" w:ascii="Times New Roman" w:hAnsi="Times New Roman" w:cs="Times New Roman"/>
          <w:szCs w:val="22"/>
        </w:rPr>
        <w:t>在中华人民共和国境内注册</w:t>
      </w:r>
      <w:r>
        <w:rPr>
          <w:rFonts w:ascii="Times New Roman" w:hAnsi="Times New Roman" w:cs="Times New Roman"/>
          <w:szCs w:val="22"/>
        </w:rPr>
        <w:t>资质。</w:t>
      </w:r>
    </w:p>
    <w:p>
      <w:pPr>
        <w:numPr>
          <w:ilvl w:val="0"/>
          <w:numId w:val="3"/>
        </w:num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业绩最低要求：</w:t>
      </w:r>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近</w:t>
      </w:r>
      <w:r>
        <w:rPr>
          <w:rFonts w:hint="eastAsia" w:ascii="Times New Roman" w:hAnsi="Times New Roman" w:cs="Times New Roman"/>
          <w:szCs w:val="22"/>
        </w:rPr>
        <w:t>五</w:t>
      </w:r>
      <w:r>
        <w:rPr>
          <w:rFonts w:ascii="Times New Roman" w:hAnsi="Times New Roman" w:cs="Times New Roman"/>
          <w:szCs w:val="22"/>
        </w:rPr>
        <w:t>年（指</w:t>
      </w:r>
      <w:r>
        <w:rPr>
          <w:rFonts w:hint="eastAsia" w:ascii="Times New Roman" w:hAnsi="Times New Roman" w:cs="Times New Roman"/>
          <w:szCs w:val="22"/>
        </w:rPr>
        <w:t>2016</w:t>
      </w:r>
      <w:r>
        <w:rPr>
          <w:rFonts w:ascii="Times New Roman" w:hAnsi="Times New Roman" w:cs="Times New Roman"/>
          <w:szCs w:val="22"/>
        </w:rPr>
        <w:t>年</w:t>
      </w:r>
      <w:r>
        <w:rPr>
          <w:rFonts w:hint="eastAsia" w:ascii="Times New Roman" w:hAnsi="Times New Roman" w:cs="Times New Roman"/>
          <w:szCs w:val="22"/>
        </w:rPr>
        <w:t>1</w:t>
      </w:r>
      <w:r>
        <w:rPr>
          <w:rFonts w:ascii="Times New Roman" w:hAnsi="Times New Roman" w:cs="Times New Roman"/>
          <w:szCs w:val="22"/>
        </w:rPr>
        <w:t>月</w:t>
      </w:r>
      <w:r>
        <w:rPr>
          <w:rFonts w:hint="eastAsia" w:ascii="Times New Roman" w:hAnsi="Times New Roman" w:cs="Times New Roman"/>
          <w:szCs w:val="22"/>
        </w:rPr>
        <w:t>1</w:t>
      </w:r>
      <w:r>
        <w:rPr>
          <w:rFonts w:ascii="Times New Roman" w:hAnsi="Times New Roman" w:cs="Times New Roman"/>
          <w:szCs w:val="22"/>
        </w:rPr>
        <w:t>日至响应文件递交截止日期，以</w:t>
      </w:r>
      <w:r>
        <w:rPr>
          <w:rFonts w:hint="eastAsia" w:ascii="Times New Roman" w:hAnsi="Times New Roman" w:cs="Times New Roman"/>
          <w:szCs w:val="22"/>
        </w:rPr>
        <w:t>合同签订</w:t>
      </w:r>
      <w:r>
        <w:rPr>
          <w:rFonts w:ascii="Times New Roman" w:hAnsi="Times New Roman" w:cs="Times New Roman"/>
          <w:szCs w:val="22"/>
        </w:rPr>
        <w:t>时间为准</w:t>
      </w:r>
      <w:r>
        <w:rPr>
          <w:rFonts w:hint="eastAsia" w:ascii="Times New Roman" w:hAnsi="Times New Roman" w:cs="Times New Roman"/>
          <w:szCs w:val="22"/>
        </w:rPr>
        <w:t>）</w:t>
      </w:r>
      <w:r>
        <w:rPr>
          <w:rFonts w:ascii="Times New Roman" w:hAnsi="Times New Roman" w:cs="Times New Roman"/>
          <w:szCs w:val="22"/>
        </w:rPr>
        <w:t>具备</w:t>
      </w:r>
      <w:r>
        <w:rPr>
          <w:rFonts w:hint="eastAsia" w:ascii="Times New Roman" w:hAnsi="Times New Roman" w:cs="Times New Roman"/>
          <w:szCs w:val="22"/>
        </w:rPr>
        <w:t>供应商主持完成3个（含）以上大型企业</w:t>
      </w:r>
      <w:bookmarkStart w:id="27" w:name="_Hlk69114631"/>
      <w:r>
        <w:rPr>
          <w:rFonts w:hint="eastAsia" w:ascii="Times New Roman" w:hAnsi="Times New Roman" w:cs="Times New Roman"/>
          <w:szCs w:val="22"/>
        </w:rPr>
        <w:t>风险或内控体系建设项目</w:t>
      </w:r>
      <w:bookmarkEnd w:id="27"/>
      <w:r>
        <w:rPr>
          <w:rFonts w:hint="eastAsia" w:ascii="Times New Roman" w:hAnsi="Times New Roman" w:cs="Times New Roman"/>
          <w:szCs w:val="22"/>
        </w:rPr>
        <w:t>，并能提供可供验证的合同文本等相关证明材料</w:t>
      </w:r>
      <w:r>
        <w:rPr>
          <w:rFonts w:ascii="Times New Roman" w:hAnsi="Times New Roman" w:cs="Times New Roman"/>
          <w:szCs w:val="22"/>
        </w:rPr>
        <w:t>业绩。</w:t>
      </w:r>
    </w:p>
    <w:p>
      <w:pPr>
        <w:pStyle w:val="2"/>
        <w:spacing w:line="360" w:lineRule="auto"/>
        <w:rPr>
          <w:rFonts w:ascii="Times New Roman" w:hAnsi="Times New Roman" w:cs="Times New Roman"/>
          <w:szCs w:val="22"/>
        </w:rPr>
      </w:pPr>
      <w:r>
        <w:rPr>
          <w:rFonts w:hint="eastAsia" w:ascii="Times New Roman" w:hAnsi="Times New Roman" w:cs="Times New Roman"/>
          <w:szCs w:val="22"/>
        </w:rPr>
        <w:t>注：若分支机构作为供应商，则其业绩仅指该分支机构本身的业绩，不包括总部的业绩。</w:t>
      </w:r>
    </w:p>
    <w:p>
      <w:pPr>
        <w:numPr>
          <w:ilvl w:val="0"/>
          <w:numId w:val="3"/>
        </w:num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主要人员最低要求：</w:t>
      </w:r>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项目</w:t>
      </w:r>
      <w:r>
        <w:rPr>
          <w:rFonts w:hint="eastAsia" w:ascii="Times New Roman" w:hAnsi="Times New Roman" w:cs="Times New Roman"/>
          <w:szCs w:val="22"/>
        </w:rPr>
        <w:t>负责人</w:t>
      </w:r>
      <w:r>
        <w:rPr>
          <w:rFonts w:ascii="Times New Roman" w:hAnsi="Times New Roman" w:cs="Times New Roman"/>
          <w:szCs w:val="22"/>
        </w:rPr>
        <w:t>1名，具备以下资格条件：</w:t>
      </w:r>
    </w:p>
    <w:p>
      <w:pPr>
        <w:pStyle w:val="56"/>
        <w:numPr>
          <w:ilvl w:val="0"/>
          <w:numId w:val="4"/>
        </w:numPr>
        <w:snapToGrid w:val="0"/>
        <w:spacing w:line="360" w:lineRule="auto"/>
        <w:ind w:firstLineChars="0"/>
        <w:rPr>
          <w:rFonts w:ascii="Times New Roman" w:hAnsi="Times New Roman" w:cs="Times New Roman"/>
          <w:szCs w:val="22"/>
          <w:highlight w:val="yellow"/>
        </w:rPr>
      </w:pPr>
      <w:r>
        <w:rPr>
          <w:rFonts w:hint="eastAsia" w:ascii="Times New Roman" w:hAnsi="Times New Roman" w:cs="Times New Roman"/>
          <w:szCs w:val="22"/>
          <w:highlight w:val="yellow"/>
        </w:rPr>
        <w:t>持有</w:t>
      </w:r>
      <w:r>
        <w:rPr>
          <w:sz w:val="24"/>
          <w:highlight w:val="yellow"/>
        </w:rPr>
        <w:t>CPA/CIA/CISA/CMA/CMC有效证书之一</w:t>
      </w:r>
      <w:r>
        <w:rPr>
          <w:rFonts w:ascii="Times New Roman" w:hAnsi="Times New Roman" w:cs="Times New Roman"/>
          <w:szCs w:val="22"/>
          <w:highlight w:val="yellow"/>
        </w:rPr>
        <w:t>；</w:t>
      </w:r>
    </w:p>
    <w:p>
      <w:pPr>
        <w:pStyle w:val="56"/>
        <w:numPr>
          <w:ilvl w:val="0"/>
          <w:numId w:val="4"/>
        </w:numPr>
        <w:snapToGrid w:val="0"/>
        <w:spacing w:line="360" w:lineRule="auto"/>
        <w:ind w:firstLineChars="0"/>
        <w:rPr>
          <w:rFonts w:ascii="Times New Roman" w:hAnsi="Times New Roman" w:cs="Times New Roman"/>
          <w:szCs w:val="22"/>
          <w:highlight w:val="yellow"/>
        </w:rPr>
      </w:pPr>
      <w:r>
        <w:rPr>
          <w:rFonts w:hint="eastAsia" w:ascii="Times New Roman" w:hAnsi="Times New Roman" w:cs="Times New Roman"/>
          <w:szCs w:val="22"/>
          <w:highlight w:val="yellow"/>
        </w:rPr>
        <w:t>近五年（指2016年1月1日至响应文件递交截止日期，以合同签订时间为准）主持完成（作为项目负责人）3个风险或内控体系建设项目的个人业绩。</w:t>
      </w:r>
    </w:p>
    <w:p>
      <w:pPr>
        <w:pStyle w:val="56"/>
        <w:numPr>
          <w:ilvl w:val="0"/>
          <w:numId w:val="4"/>
        </w:numPr>
        <w:snapToGrid w:val="0"/>
        <w:spacing w:line="360" w:lineRule="auto"/>
        <w:ind w:left="420" w:firstLine="0" w:firstLineChars="0"/>
        <w:rPr>
          <w:rFonts w:ascii="Times New Roman" w:hAnsi="Times New Roman" w:cs="Times New Roman"/>
          <w:szCs w:val="22"/>
        </w:rPr>
      </w:pPr>
      <w:r>
        <w:rPr>
          <w:rFonts w:hint="eastAsia" w:ascii="Times New Roman" w:hAnsi="Times New Roman" w:cs="Times New Roman"/>
          <w:szCs w:val="22"/>
          <w:highlight w:val="yellow"/>
        </w:rPr>
        <w:t>团队其他成员（不含项目负责人）不得少于</w:t>
      </w:r>
      <w:r>
        <w:rPr>
          <w:rFonts w:ascii="Times New Roman" w:hAnsi="Times New Roman" w:cs="Times New Roman"/>
          <w:szCs w:val="22"/>
          <w:highlight w:val="yellow"/>
        </w:rPr>
        <w:t>3</w:t>
      </w:r>
      <w:r>
        <w:rPr>
          <w:rFonts w:hint="eastAsia" w:ascii="Times New Roman" w:hAnsi="Times New Roman" w:cs="Times New Roman"/>
          <w:szCs w:val="22"/>
          <w:highlight w:val="yellow"/>
        </w:rPr>
        <w:t>人，应具备风险或内控体系建设项目经验（提供相应证明材料）。</w:t>
      </w:r>
      <w:r>
        <w:rPr>
          <w:rFonts w:ascii="Times New Roman" w:hAnsi="Times New Roman" w:cs="Times New Roman"/>
          <w:szCs w:val="22"/>
          <w:highlight w:val="yellow"/>
        </w:rPr>
        <w:br w:type="textWrapping" w:clear="all"/>
      </w:r>
      <w:r>
        <w:rPr>
          <w:rFonts w:hint="eastAsia" w:ascii="Times New Roman" w:hAnsi="Times New Roman" w:cs="Times New Roman"/>
          <w:szCs w:val="22"/>
        </w:rPr>
        <w:t>（4）</w:t>
      </w:r>
      <w:r>
        <w:rPr>
          <w:rFonts w:ascii="Times New Roman" w:hAnsi="Times New Roman" w:cs="Times New Roman"/>
          <w:szCs w:val="22"/>
        </w:rPr>
        <w:t>信誉要求最低要求：</w:t>
      </w:r>
    </w:p>
    <w:p>
      <w:pPr>
        <w:snapToGrid w:val="0"/>
        <w:spacing w:line="360" w:lineRule="auto"/>
        <w:ind w:firstLine="420" w:firstLineChars="200"/>
        <w:rPr>
          <w:rFonts w:ascii="Times New Roman" w:hAnsi="Times New Roman" w:cs="Times New Roman"/>
          <w:szCs w:val="22"/>
        </w:rPr>
      </w:pPr>
      <w:r>
        <w:rPr>
          <w:rFonts w:hint="eastAsia" w:ascii="宋体" w:hAnsi="宋体" w:eastAsia="宋体" w:cs="宋体"/>
          <w:szCs w:val="22"/>
        </w:rPr>
        <w:t>①</w:t>
      </w:r>
      <w:r>
        <w:rPr>
          <w:rFonts w:hint="eastAsia" w:ascii="Times New Roman" w:hAnsi="Times New Roman" w:cs="Times New Roman"/>
          <w:szCs w:val="22"/>
        </w:rPr>
        <w:t>未被责令停业，暂扣或吊销执照，或吊销资质证书；</w:t>
      </w:r>
    </w:p>
    <w:p>
      <w:pPr>
        <w:snapToGrid w:val="0"/>
        <w:spacing w:line="360" w:lineRule="auto"/>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360" w:lineRule="auto"/>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360" w:lineRule="auto"/>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360" w:lineRule="auto"/>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向前追溯3年）供应商或其法定代表人、拟委任的项目</w:t>
      </w:r>
      <w:r>
        <w:rPr>
          <w:rFonts w:hint="eastAsia" w:ascii="Times New Roman" w:hAnsi="Times New Roman" w:cs="Times New Roman"/>
          <w:szCs w:val="22"/>
        </w:rPr>
        <w:t>负责人未</w:t>
      </w:r>
      <w:r>
        <w:rPr>
          <w:rFonts w:ascii="Times New Roman" w:hAnsi="Times New Roman" w:cs="Times New Roman"/>
          <w:szCs w:val="22"/>
        </w:rPr>
        <w:t>有行贿犯罪行为。</w:t>
      </w:r>
    </w:p>
    <w:p>
      <w:pPr>
        <w:snapToGrid w:val="0"/>
        <w:spacing w:line="360" w:lineRule="auto"/>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bookmarkStart w:id="28" w:name="_Toc4109_WPSOffice_Level2"/>
      <w:bookmarkStart w:id="29" w:name="_Toc525632588"/>
      <w:bookmarkStart w:id="30" w:name="_Toc25666_WPSOffice_Level2"/>
      <w:bookmarkStart w:id="31" w:name="_Toc1994"/>
      <w:bookmarkStart w:id="32" w:name="_Toc4751"/>
      <w:bookmarkStart w:id="33" w:name="_Toc2996_WPSOffice_Level2"/>
      <w:bookmarkStart w:id="34" w:name="_Toc29452_WPSOffice_Level2"/>
    </w:p>
    <w:bookmarkEnd w:id="28"/>
    <w:bookmarkEnd w:id="29"/>
    <w:bookmarkEnd w:id="30"/>
    <w:bookmarkEnd w:id="31"/>
    <w:bookmarkEnd w:id="32"/>
    <w:bookmarkEnd w:id="33"/>
    <w:bookmarkEnd w:id="34"/>
    <w:p>
      <w:pPr>
        <w:snapToGrid w:val="0"/>
        <w:spacing w:line="360" w:lineRule="auto"/>
        <w:ind w:firstLine="431" w:firstLineChars="196"/>
        <w:rPr>
          <w:rFonts w:ascii="Times New Roman" w:hAnsi="Times New Roman" w:cs="Times New Roman"/>
          <w:b/>
          <w:szCs w:val="22"/>
        </w:rPr>
      </w:pPr>
      <w:bookmarkStart w:id="35" w:name="_Toc525632589"/>
      <w:bookmarkStart w:id="36" w:name="_Toc726"/>
      <w:r>
        <w:rPr>
          <w:rFonts w:hint="eastAsia" w:ascii="Times New Roman" w:hAnsi="Times New Roman" w:eastAsia="黑体" w:cs="Times New Roman"/>
          <w:b/>
          <w:sz w:val="22"/>
          <w:szCs w:val="15"/>
          <w:lang w:val="en-US" w:eastAsia="zh-CN"/>
        </w:rPr>
        <w:t>4.</w:t>
      </w:r>
      <w:r>
        <w:rPr>
          <w:rFonts w:ascii="Times New Roman" w:hAnsi="Times New Roman" w:eastAsia="黑体" w:cs="Times New Roman"/>
          <w:b/>
          <w:sz w:val="22"/>
          <w:szCs w:val="15"/>
        </w:rPr>
        <w:t>响应文件的递交</w:t>
      </w:r>
      <w:bookmarkEnd w:id="35"/>
      <w:bookmarkEnd w:id="36"/>
    </w:p>
    <w:p>
      <w:pPr>
        <w:snapToGrid w:val="0"/>
        <w:spacing w:line="360" w:lineRule="auto"/>
        <w:ind w:firstLine="367" w:firstLineChars="175"/>
        <w:rPr>
          <w:rFonts w:ascii="Times New Roman" w:hAnsi="Times New Roman" w:cs="Times New Roman"/>
          <w:szCs w:val="22"/>
          <w:highlight w:val="yellow"/>
        </w:rPr>
      </w:pPr>
      <w:bookmarkStart w:id="37" w:name="_Toc525632591"/>
      <w:bookmarkStart w:id="38" w:name="_Toc22719"/>
      <w:r>
        <w:rPr>
          <w:rFonts w:ascii="Times New Roman" w:hAnsi="Times New Roman" w:cs="Times New Roman"/>
          <w:szCs w:val="22"/>
        </w:rPr>
        <w:t>响应文件递交的截止</w:t>
      </w:r>
      <w:r>
        <w:rPr>
          <w:rFonts w:ascii="Times New Roman" w:hAnsi="Times New Roman" w:cs="Times New Roman"/>
          <w:szCs w:val="22"/>
          <w:highlight w:val="yellow"/>
        </w:rPr>
        <w:t>时间为</w:t>
      </w:r>
      <w:r>
        <w:rPr>
          <w:rFonts w:hint="eastAsia" w:ascii="Times New Roman" w:hAnsi="Times New Roman" w:cs="Times New Roman"/>
          <w:szCs w:val="22"/>
          <w:highlight w:val="yellow"/>
        </w:rPr>
        <w:t>2021</w:t>
      </w:r>
      <w:r>
        <w:rPr>
          <w:rFonts w:ascii="Times New Roman" w:hAnsi="Times New Roman" w:cs="Times New Roman"/>
          <w:szCs w:val="22"/>
          <w:highlight w:val="yellow"/>
        </w:rPr>
        <w:t>年</w:t>
      </w:r>
      <w:r>
        <w:rPr>
          <w:rFonts w:hint="eastAsia" w:ascii="Times New Roman" w:hAnsi="Times New Roman" w:cs="Times New Roman"/>
          <w:szCs w:val="22"/>
          <w:highlight w:val="yellow"/>
          <w:lang w:val="en-US" w:eastAsia="zh-CN"/>
        </w:rPr>
        <w:t>5</w:t>
      </w:r>
      <w:r>
        <w:rPr>
          <w:rFonts w:ascii="Times New Roman" w:hAnsi="Times New Roman" w:cs="Times New Roman"/>
          <w:szCs w:val="22"/>
          <w:highlight w:val="yellow"/>
        </w:rPr>
        <w:t>月1</w:t>
      </w:r>
      <w:r>
        <w:rPr>
          <w:rFonts w:hint="eastAsia" w:ascii="Times New Roman" w:hAnsi="Times New Roman" w:cs="Times New Roman"/>
          <w:szCs w:val="22"/>
          <w:highlight w:val="yellow"/>
          <w:lang w:val="en-US" w:eastAsia="zh-CN"/>
        </w:rPr>
        <w:t>4</w:t>
      </w:r>
      <w:r>
        <w:rPr>
          <w:rFonts w:ascii="Times New Roman" w:hAnsi="Times New Roman" w:cs="Times New Roman"/>
          <w:szCs w:val="22"/>
          <w:highlight w:val="yellow"/>
        </w:rPr>
        <w:t>日</w:t>
      </w:r>
      <w:r>
        <w:rPr>
          <w:rFonts w:hint="eastAsia" w:ascii="Times New Roman" w:hAnsi="Times New Roman" w:cs="Times New Roman"/>
          <w:szCs w:val="22"/>
          <w:highlight w:val="yellow"/>
        </w:rPr>
        <w:t>10</w:t>
      </w:r>
      <w:r>
        <w:rPr>
          <w:rFonts w:ascii="Times New Roman" w:hAnsi="Times New Roman" w:cs="Times New Roman"/>
          <w:szCs w:val="22"/>
          <w:highlight w:val="yellow"/>
        </w:rPr>
        <w:t>时</w:t>
      </w:r>
      <w:r>
        <w:rPr>
          <w:rFonts w:hint="eastAsia" w:ascii="Times New Roman" w:hAnsi="Times New Roman" w:cs="Times New Roman"/>
          <w:szCs w:val="22"/>
          <w:highlight w:val="yellow"/>
        </w:rPr>
        <w:t>0</w:t>
      </w:r>
      <w:r>
        <w:rPr>
          <w:rFonts w:ascii="Times New Roman" w:hAnsi="Times New Roman" w:cs="Times New Roman"/>
          <w:szCs w:val="22"/>
          <w:highlight w:val="yellow"/>
        </w:rPr>
        <w:t>0分，供应商的法定代表人或其授权代理人应于截止时间前将响应文件</w:t>
      </w:r>
      <w:r>
        <w:rPr>
          <w:rFonts w:hint="eastAsia" w:ascii="Times New Roman" w:hAnsi="Times New Roman" w:cs="Times New Roman"/>
          <w:szCs w:val="22"/>
          <w:highlight w:val="yellow"/>
        </w:rPr>
        <w:t>递交至</w:t>
      </w:r>
      <w:r>
        <w:rPr>
          <w:rFonts w:hint="eastAsia" w:ascii="Times New Roman" w:hAnsi="Times New Roman" w:cs="Times New Roman"/>
          <w:szCs w:val="22"/>
          <w:highlight w:val="yellow"/>
          <w:u w:val="single"/>
          <w:lang w:eastAsia="zh-CN"/>
        </w:rPr>
        <w:t>安徽省经工建设集团有限公司</w:t>
      </w:r>
      <w:r>
        <w:rPr>
          <w:rFonts w:hint="eastAsia" w:ascii="Times New Roman" w:hAnsi="Times New Roman" w:cs="Times New Roman"/>
          <w:szCs w:val="22"/>
          <w:highlight w:val="yellow"/>
          <w:u w:val="single"/>
          <w:lang w:val="en-US" w:eastAsia="zh-CN"/>
        </w:rPr>
        <w:t>二楼</w:t>
      </w:r>
      <w:r>
        <w:rPr>
          <w:rFonts w:hint="eastAsia" w:ascii="Times New Roman" w:hAnsi="Times New Roman" w:cs="Times New Roman"/>
          <w:szCs w:val="22"/>
          <w:highlight w:val="yellow"/>
          <w:u w:val="single"/>
        </w:rPr>
        <w:t>会议室(安徽省合肥市</w:t>
      </w:r>
      <w:r>
        <w:rPr>
          <w:rFonts w:hint="eastAsia" w:ascii="Times New Roman" w:hAnsi="Times New Roman" w:cs="Times New Roman"/>
          <w:szCs w:val="22"/>
          <w:highlight w:val="yellow"/>
          <w:u w:val="single"/>
          <w:lang w:val="en-US" w:eastAsia="zh-CN"/>
        </w:rPr>
        <w:t>甘泉路398号新城电力大厦内</w:t>
      </w:r>
      <w:r>
        <w:rPr>
          <w:rFonts w:hint="eastAsia" w:ascii="Times New Roman" w:hAnsi="Times New Roman" w:cs="Times New Roman"/>
          <w:szCs w:val="22"/>
          <w:highlight w:val="yellow"/>
          <w:u w:val="single"/>
        </w:rPr>
        <w:t>)</w:t>
      </w:r>
      <w:r>
        <w:rPr>
          <w:rFonts w:ascii="Times New Roman" w:hAnsi="Times New Roman" w:cs="Times New Roman"/>
          <w:szCs w:val="22"/>
          <w:highlight w:val="yellow"/>
          <w:u w:val="single"/>
        </w:rPr>
        <w:t>。</w:t>
      </w:r>
    </w:p>
    <w:p>
      <w:pPr>
        <w:snapToGrid w:val="0"/>
        <w:spacing w:line="360" w:lineRule="auto"/>
        <w:ind w:firstLine="411" w:firstLineChars="196"/>
        <w:rPr>
          <w:rFonts w:ascii="Times New Roman" w:hAnsi="Times New Roman" w:cs="Times New Roman"/>
          <w:b/>
          <w:szCs w:val="22"/>
        </w:rPr>
      </w:pPr>
      <w:r>
        <w:rPr>
          <w:rFonts w:hint="eastAsia" w:ascii="Times New Roman" w:hAnsi="Times New Roman" w:cs="Times New Roman"/>
          <w:b/>
          <w:szCs w:val="22"/>
          <w:lang w:val="en-US" w:eastAsia="zh-CN"/>
        </w:rPr>
        <w:t>5</w:t>
      </w:r>
      <w:r>
        <w:rPr>
          <w:rFonts w:hint="eastAsia" w:ascii="Times New Roman" w:hAnsi="Times New Roman" w:cs="Times New Roman"/>
          <w:b/>
          <w:szCs w:val="22"/>
        </w:rPr>
        <w:t xml:space="preserve">. </w:t>
      </w:r>
      <w:r>
        <w:rPr>
          <w:rFonts w:ascii="Times New Roman" w:hAnsi="Times New Roman" w:eastAsia="黑体" w:cs="Times New Roman"/>
          <w:b/>
          <w:sz w:val="22"/>
          <w:szCs w:val="15"/>
        </w:rPr>
        <w:t>响应文件启封</w:t>
      </w:r>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响应文件的递交截止时间到后，采购人将于</w:t>
      </w:r>
      <w:r>
        <w:rPr>
          <w:rFonts w:hint="eastAsia" w:ascii="Times New Roman" w:hAnsi="Times New Roman" w:cs="Times New Roman"/>
          <w:szCs w:val="22"/>
          <w:u w:val="single"/>
        </w:rPr>
        <w:t>响应文件递交截止的同一时间、同一地点</w:t>
      </w:r>
      <w:r>
        <w:rPr>
          <w:rFonts w:ascii="Times New Roman" w:hAnsi="Times New Roman" w:cs="Times New Roman"/>
          <w:szCs w:val="22"/>
        </w:rPr>
        <w:t>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snapToGrid w:val="0"/>
        <w:spacing w:line="360" w:lineRule="auto"/>
        <w:ind w:firstLine="308" w:firstLineChars="147"/>
        <w:rPr>
          <w:rFonts w:ascii="Times New Roman" w:hAnsi="Times New Roman" w:cs="Times New Roman"/>
          <w:b/>
          <w:szCs w:val="22"/>
        </w:rPr>
      </w:pPr>
      <w:r>
        <w:rPr>
          <w:rFonts w:hint="eastAsia" w:ascii="Times New Roman" w:hAnsi="Times New Roman" w:cs="Times New Roman"/>
          <w:b/>
          <w:szCs w:val="22"/>
          <w:lang w:val="en-US" w:eastAsia="zh-CN"/>
        </w:rPr>
        <w:t>6</w:t>
      </w:r>
      <w:r>
        <w:rPr>
          <w:rFonts w:hint="eastAsia" w:ascii="Times New Roman" w:hAnsi="Times New Roman" w:cs="Times New Roman"/>
          <w:b/>
          <w:szCs w:val="22"/>
        </w:rPr>
        <w:t>.</w:t>
      </w:r>
      <w:r>
        <w:rPr>
          <w:rFonts w:hint="eastAsia" w:ascii="Times New Roman" w:hAnsi="Times New Roman" w:eastAsia="黑体" w:cs="Times New Roman"/>
          <w:b/>
          <w:sz w:val="22"/>
          <w:szCs w:val="15"/>
        </w:rPr>
        <w:t>响应保证金</w:t>
      </w:r>
    </w:p>
    <w:p>
      <w:pPr>
        <w:snapToGrid w:val="0"/>
        <w:spacing w:line="360" w:lineRule="auto"/>
        <w:ind w:firstLine="420" w:firstLineChars="200"/>
        <w:rPr>
          <w:rFonts w:ascii="Times New Roman" w:hAnsi="Times New Roman"/>
        </w:rPr>
      </w:pPr>
      <w:r>
        <w:rPr>
          <w:rFonts w:hint="eastAsia" w:ascii="Times New Roman" w:hAnsi="Times New Roman"/>
        </w:rPr>
        <w:t>响应保证金的金额：</w:t>
      </w:r>
      <w:r>
        <w:rPr>
          <w:rFonts w:hint="eastAsia" w:ascii="Times New Roman" w:hAnsi="Times New Roman" w:cs="Times New Roman"/>
          <w:szCs w:val="22"/>
          <w:u w:val="single"/>
        </w:rPr>
        <w:t>本项目不收取响应保证金</w:t>
      </w:r>
    </w:p>
    <w:bookmarkEnd w:id="37"/>
    <w:bookmarkEnd w:id="38"/>
    <w:p>
      <w:pPr>
        <w:snapToGrid w:val="0"/>
        <w:spacing w:line="360" w:lineRule="auto"/>
        <w:ind w:left="315" w:leftChars="150" w:firstLine="105" w:firstLineChars="50"/>
        <w:rPr>
          <w:rFonts w:ascii="Times New Roman" w:hAnsi="Times New Roman" w:cs="Times New Roman"/>
          <w:b/>
          <w:szCs w:val="22"/>
        </w:rPr>
      </w:pPr>
      <w:r>
        <w:rPr>
          <w:rFonts w:hint="eastAsia" w:ascii="Times New Roman" w:hAnsi="Times New Roman" w:cs="Times New Roman"/>
          <w:b/>
          <w:szCs w:val="22"/>
        </w:rPr>
        <w:t>9</w:t>
      </w:r>
      <w:bookmarkStart w:id="39" w:name="_Toc26829"/>
      <w:bookmarkStart w:id="40" w:name="_Toc8501"/>
      <w:bookmarkStart w:id="41" w:name="_Toc28571_WPSOffice_Level2"/>
      <w:bookmarkStart w:id="42" w:name="_Toc20572_WPSOffice_Level2"/>
      <w:bookmarkStart w:id="43" w:name="_Toc14943_WPSOffice_Level2"/>
      <w:bookmarkStart w:id="44" w:name="_Toc321_WPSOffice_Level2"/>
      <w:bookmarkStart w:id="45" w:name="_Toc525632592"/>
      <w:r>
        <w:rPr>
          <w:rFonts w:hint="eastAsia" w:ascii="Times New Roman" w:hAnsi="Times New Roman" w:cs="Times New Roman"/>
          <w:b/>
          <w:szCs w:val="22"/>
          <w:lang w:val="en-US" w:eastAsia="zh-CN"/>
        </w:rPr>
        <w:t>.</w:t>
      </w:r>
      <w:r>
        <w:rPr>
          <w:rFonts w:hint="eastAsia" w:ascii="Times New Roman" w:hAnsi="Times New Roman" w:cs="Times New Roman"/>
          <w:b/>
          <w:szCs w:val="22"/>
        </w:rPr>
        <w:t xml:space="preserve"> </w:t>
      </w:r>
      <w:r>
        <w:rPr>
          <w:rFonts w:ascii="Times New Roman" w:hAnsi="Times New Roman" w:eastAsia="黑体" w:cs="Times New Roman"/>
          <w:b/>
          <w:sz w:val="22"/>
          <w:szCs w:val="15"/>
        </w:rPr>
        <w:t>采购人联系方式</w:t>
      </w:r>
      <w:bookmarkEnd w:id="39"/>
      <w:bookmarkEnd w:id="40"/>
      <w:bookmarkEnd w:id="41"/>
      <w:bookmarkEnd w:id="42"/>
      <w:bookmarkEnd w:id="43"/>
      <w:bookmarkEnd w:id="44"/>
      <w:bookmarkEnd w:id="45"/>
    </w:p>
    <w:p>
      <w:pPr>
        <w:spacing w:line="360" w:lineRule="auto"/>
        <w:ind w:firstLine="420" w:firstLineChars="200"/>
        <w:rPr>
          <w:rFonts w:hint="eastAsia" w:ascii="Times New Roman" w:hAnsi="Times New Roman" w:cs="Times New Roman" w:eastAsiaTheme="minorEastAsia"/>
          <w:szCs w:val="22"/>
          <w:lang w:eastAsia="zh-CN"/>
        </w:rPr>
      </w:pPr>
      <w:r>
        <w:rPr>
          <w:rFonts w:ascii="Times New Roman" w:hAnsi="Times New Roman" w:cs="Times New Roman"/>
          <w:szCs w:val="22"/>
        </w:rPr>
        <w:t>采购人：</w:t>
      </w:r>
      <w:r>
        <w:rPr>
          <w:rFonts w:hint="eastAsia" w:ascii="Times New Roman" w:hAnsi="Times New Roman" w:cs="Times New Roman"/>
          <w:szCs w:val="22"/>
          <w:u w:val="single"/>
          <w:lang w:eastAsia="zh-CN"/>
        </w:rPr>
        <w:t>安徽省经工建设集团有限公司</w:t>
      </w:r>
    </w:p>
    <w:p>
      <w:pPr>
        <w:spacing w:line="360" w:lineRule="auto"/>
        <w:ind w:firstLine="420" w:firstLineChars="200"/>
        <w:rPr>
          <w:rFonts w:hint="eastAsia" w:ascii="Times New Roman" w:hAnsi="Times New Roman" w:cs="Times New Roman"/>
          <w:szCs w:val="22"/>
          <w:lang w:val="en-US" w:eastAsia="zh-CN"/>
        </w:rPr>
      </w:pPr>
      <w:r>
        <w:rPr>
          <w:rFonts w:ascii="Times New Roman" w:hAnsi="Times New Roman" w:cs="Times New Roman"/>
          <w:szCs w:val="22"/>
        </w:rPr>
        <w:t>地址：</w:t>
      </w:r>
      <w:r>
        <w:rPr>
          <w:rFonts w:hint="eastAsia" w:ascii="Times New Roman" w:hAnsi="Times New Roman" w:cs="Times New Roman"/>
          <w:szCs w:val="22"/>
          <w:u w:val="single"/>
        </w:rPr>
        <w:t>安徽省合肥市</w:t>
      </w:r>
      <w:r>
        <w:rPr>
          <w:rFonts w:hint="eastAsia" w:ascii="Times New Roman" w:hAnsi="Times New Roman" w:cs="Times New Roman"/>
          <w:szCs w:val="22"/>
          <w:u w:val="single"/>
          <w:lang w:val="en-US" w:eastAsia="zh-CN"/>
        </w:rPr>
        <w:t>甘泉路398号新城电力大厦内</w:t>
      </w:r>
    </w:p>
    <w:p>
      <w:pPr>
        <w:spacing w:line="360" w:lineRule="auto"/>
        <w:ind w:firstLine="420" w:firstLineChars="200"/>
        <w:rPr>
          <w:rFonts w:ascii="Times New Roman" w:hAnsi="Times New Roman" w:cs="Times New Roman"/>
          <w:szCs w:val="22"/>
        </w:rPr>
      </w:pPr>
      <w:r>
        <w:rPr>
          <w:rFonts w:ascii="Times New Roman" w:hAnsi="Times New Roman" w:cs="Times New Roman"/>
          <w:szCs w:val="22"/>
        </w:rPr>
        <w:t>邮政编码：</w:t>
      </w:r>
      <w:r>
        <w:rPr>
          <w:rFonts w:hint="eastAsia" w:ascii="Times New Roman" w:hAnsi="Times New Roman" w:cs="Times New Roman"/>
          <w:szCs w:val="22"/>
          <w:u w:val="single"/>
        </w:rPr>
        <w:t>230088</w:t>
      </w:r>
    </w:p>
    <w:p>
      <w:pPr>
        <w:spacing w:line="360" w:lineRule="auto"/>
        <w:ind w:firstLine="420" w:firstLineChars="200"/>
        <w:rPr>
          <w:rFonts w:hint="default" w:ascii="Times New Roman" w:hAnsi="Times New Roman" w:cs="Times New Roman"/>
          <w:szCs w:val="22"/>
          <w:lang w:val="en-US"/>
        </w:rPr>
      </w:pPr>
      <w:r>
        <w:rPr>
          <w:rFonts w:ascii="Times New Roman" w:hAnsi="Times New Roman" w:cs="Times New Roman"/>
          <w:szCs w:val="22"/>
        </w:rPr>
        <w:t>联系人：</w:t>
      </w:r>
      <w:r>
        <w:rPr>
          <w:rFonts w:hint="eastAsia" w:ascii="Times New Roman" w:hAnsi="Times New Roman" w:cs="Times New Roman"/>
          <w:szCs w:val="22"/>
          <w:u w:val="single"/>
          <w:lang w:val="en-US" w:eastAsia="zh-CN"/>
        </w:rPr>
        <w:t xml:space="preserve">王工、徐工 </w:t>
      </w:r>
    </w:p>
    <w:p>
      <w:pPr>
        <w:spacing w:line="360" w:lineRule="auto"/>
        <w:ind w:firstLine="420" w:firstLineChars="200"/>
        <w:rPr>
          <w:rFonts w:ascii="Times New Roman" w:hAnsi="Times New Roman" w:cs="Times New Roman"/>
          <w:szCs w:val="22"/>
          <w:u w:val="single"/>
        </w:rPr>
      </w:pPr>
      <w:r>
        <w:rPr>
          <w:rFonts w:ascii="Times New Roman" w:hAnsi="Times New Roman" w:cs="Times New Roman"/>
          <w:szCs w:val="22"/>
        </w:rPr>
        <w:t>电话：</w:t>
      </w:r>
      <w:r>
        <w:rPr>
          <w:rFonts w:hint="eastAsia" w:ascii="Times New Roman" w:hAnsi="Times New Roman" w:cs="Times New Roman"/>
          <w:szCs w:val="22"/>
          <w:u w:val="single"/>
        </w:rPr>
        <w:t>0551-</w:t>
      </w:r>
      <w:r>
        <w:rPr>
          <w:rFonts w:hint="eastAsia" w:ascii="Times New Roman" w:hAnsi="Times New Roman" w:cs="Times New Roman"/>
          <w:szCs w:val="22"/>
          <w:u w:val="single"/>
          <w:lang w:val="en-US" w:eastAsia="zh-CN"/>
        </w:rPr>
        <w:t>62265209</w:t>
      </w:r>
      <w:r>
        <w:rPr>
          <w:rFonts w:hint="eastAsia" w:ascii="Times New Roman" w:hAnsi="Times New Roman" w:cs="Times New Roman"/>
          <w:szCs w:val="22"/>
          <w:u w:val="single"/>
        </w:rPr>
        <w:t>、0</w:t>
      </w:r>
      <w:r>
        <w:rPr>
          <w:rFonts w:ascii="Times New Roman" w:hAnsi="Times New Roman" w:cs="Times New Roman"/>
          <w:szCs w:val="22"/>
          <w:u w:val="single"/>
        </w:rPr>
        <w:t>551-</w:t>
      </w:r>
      <w:r>
        <w:rPr>
          <w:rFonts w:hint="eastAsia" w:ascii="Times New Roman" w:hAnsi="Times New Roman" w:cs="Times New Roman"/>
          <w:szCs w:val="22"/>
          <w:u w:val="single"/>
          <w:lang w:val="en-US" w:eastAsia="zh-CN"/>
        </w:rPr>
        <w:t>62265213</w:t>
      </w:r>
      <w:r>
        <w:rPr>
          <w:rFonts w:hint="eastAsia" w:ascii="Times New Roman" w:hAnsi="Times New Roman" w:cs="Times New Roman"/>
          <w:szCs w:val="22"/>
          <w:u w:val="single"/>
        </w:rPr>
        <w:t xml:space="preserve"> </w:t>
      </w:r>
    </w:p>
    <w:p>
      <w:pPr>
        <w:spacing w:line="360" w:lineRule="auto"/>
        <w:ind w:firstLine="420" w:firstLineChars="200"/>
        <w:rPr>
          <w:rFonts w:ascii="Times New Roman" w:hAnsi="Times New Roman" w:cs="Times New Roman"/>
          <w:szCs w:val="22"/>
        </w:rPr>
      </w:pPr>
      <w:r>
        <w:rPr>
          <w:rFonts w:ascii="Times New Roman" w:hAnsi="Times New Roman" w:cs="Times New Roman"/>
          <w:szCs w:val="22"/>
        </w:rPr>
        <w:t>电子邮箱：</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792685872</w:t>
      </w:r>
      <w:r>
        <w:rPr>
          <w:rFonts w:hint="eastAsia" w:ascii="Times New Roman" w:hAnsi="Times New Roman" w:cs="Times New Roman"/>
          <w:szCs w:val="22"/>
          <w:u w:val="single"/>
        </w:rPr>
        <w:t xml:space="preserve">@qq.com     </w:t>
      </w:r>
    </w:p>
    <w:p>
      <w:pPr>
        <w:spacing w:line="360" w:lineRule="auto"/>
        <w:ind w:firstLine="420" w:firstLineChars="200"/>
        <w:rPr>
          <w:rFonts w:ascii="Times New Roman" w:hAnsi="Times New Roman" w:cs="Times New Roman"/>
          <w:szCs w:val="22"/>
        </w:rPr>
      </w:pPr>
    </w:p>
    <w:p>
      <w:pPr>
        <w:pStyle w:val="42"/>
        <w:spacing w:line="360" w:lineRule="auto"/>
        <w:jc w:val="center"/>
        <w:rPr>
          <w:rFonts w:hint="default" w:ascii="Times New Roman" w:hAnsi="Times New Roman"/>
          <w:color w:val="auto"/>
          <w:sz w:val="21"/>
          <w:szCs w:val="22"/>
        </w:rPr>
      </w:pPr>
    </w:p>
    <w:p>
      <w:pPr>
        <w:pStyle w:val="42"/>
        <w:spacing w:line="360" w:lineRule="auto"/>
        <w:jc w:val="right"/>
        <w:rPr>
          <w:rFonts w:hint="default" w:ascii="Times New Roman" w:hAnsi="Times New Roman"/>
          <w:color w:val="auto"/>
          <w:sz w:val="21"/>
          <w:szCs w:val="22"/>
        </w:rPr>
      </w:pPr>
    </w:p>
    <w:p>
      <w:pPr>
        <w:spacing w:line="360" w:lineRule="auto"/>
        <w:ind w:firstLine="5520" w:firstLineChars="2300"/>
        <w:rPr>
          <w:rFonts w:ascii="Times New Roman" w:hAnsi="Times New Roman" w:cs="Times New Roman"/>
          <w:sz w:val="24"/>
          <w:szCs w:val="28"/>
        </w:rPr>
      </w:pPr>
      <w:r>
        <w:rPr>
          <w:rFonts w:hint="eastAsia" w:ascii="宋体" w:hAnsi="宋体" w:cs="宋体"/>
          <w:kern w:val="0"/>
          <w:sz w:val="24"/>
        </w:rPr>
        <w:t>2021</w:t>
      </w:r>
      <w:r>
        <w:rPr>
          <w:rFonts w:ascii="宋体" w:hAnsi="宋体" w:cs="宋体"/>
          <w:kern w:val="0"/>
          <w:sz w:val="24"/>
        </w:rPr>
        <w:t>年</w:t>
      </w:r>
      <w:r>
        <w:rPr>
          <w:rFonts w:hint="eastAsia" w:ascii="宋体" w:hAnsi="宋体" w:cs="宋体"/>
          <w:kern w:val="0"/>
          <w:sz w:val="24"/>
          <w:lang w:val="en-US" w:eastAsia="zh-CN"/>
        </w:rPr>
        <w:t>5</w:t>
      </w:r>
      <w:r>
        <w:rPr>
          <w:rFonts w:ascii="宋体" w:hAnsi="宋体" w:cs="宋体"/>
          <w:kern w:val="0"/>
          <w:sz w:val="24"/>
        </w:rPr>
        <w:t>月</w:t>
      </w:r>
      <w:r>
        <w:rPr>
          <w:rFonts w:hint="eastAsia" w:ascii="宋体" w:hAnsi="宋体" w:cs="宋体"/>
          <w:kern w:val="0"/>
          <w:sz w:val="24"/>
          <w:lang w:val="en-US" w:eastAsia="zh-CN"/>
        </w:rPr>
        <w:t>6</w:t>
      </w:r>
      <w:r>
        <w:rPr>
          <w:rFonts w:ascii="宋体" w:hAnsi="宋体" w:cs="宋体"/>
          <w:kern w:val="0"/>
          <w:sz w:val="24"/>
        </w:rPr>
        <w:t>日</w:t>
      </w:r>
      <w:r>
        <w:rPr>
          <w:rFonts w:ascii="Times New Roman" w:hAnsi="Times New Roman" w:cs="Times New Roman"/>
          <w:sz w:val="24"/>
          <w:szCs w:val="28"/>
        </w:rPr>
        <w:br w:type="page"/>
      </w:r>
    </w:p>
    <w:p>
      <w:pPr>
        <w:jc w:val="center"/>
        <w:rPr>
          <w:rFonts w:ascii="宋体" w:hAnsi="宋体" w:eastAsia="宋体" w:cs="Times New Roman"/>
          <w:b/>
          <w:sz w:val="36"/>
          <w:szCs w:val="36"/>
        </w:rPr>
      </w:pPr>
      <w:r>
        <w:rPr>
          <w:rFonts w:hint="eastAsia" w:ascii="宋体" w:hAnsi="宋体" w:eastAsia="宋体" w:cs="Times New Roman"/>
          <w:b/>
          <w:sz w:val="36"/>
          <w:szCs w:val="36"/>
        </w:rPr>
        <w:t xml:space="preserve">第二章 </w:t>
      </w:r>
      <w:r>
        <w:rPr>
          <w:rFonts w:ascii="宋体" w:hAnsi="宋体" w:eastAsia="宋体" w:cs="Times New Roman"/>
          <w:b/>
          <w:sz w:val="36"/>
          <w:szCs w:val="36"/>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质量要求和安全</w:t>
      </w:r>
      <w:r>
        <w:rPr>
          <w:rFonts w:hint="eastAsia" w:ascii="Times New Roman" w:hAnsi="Times New Roman" w:eastAsia="黑体" w:cs="Times New Roman"/>
          <w:bCs/>
          <w:sz w:val="24"/>
          <w:szCs w:val="32"/>
        </w:rPr>
        <w:t>目标</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1</w:t>
      </w:r>
      <w:r>
        <w:rPr>
          <w:rFonts w:ascii="Times New Roman" w:hAnsi="Times New Roman" w:cs="Times New Roman"/>
          <w:szCs w:val="21"/>
        </w:rPr>
        <w:t>本合同包的质量要求：</w:t>
      </w:r>
      <w:r>
        <w:rPr>
          <w:rFonts w:hint="eastAsia" w:ascii="Times New Roman" w:hAnsi="Times New Roman" w:cs="Times New Roman"/>
          <w:szCs w:val="21"/>
          <w:u w:val="single"/>
        </w:rPr>
        <w:t>内控体系建设咨询方案</w:t>
      </w:r>
      <w:r>
        <w:rPr>
          <w:rFonts w:hint="eastAsia" w:ascii="Times New Roman" w:hAnsi="Times New Roman"/>
          <w:szCs w:val="21"/>
          <w:u w:val="single"/>
        </w:rPr>
        <w:t>合理可行，切实提升内控体系管理成效，促进公司经营高质量发展</w:t>
      </w:r>
      <w:r>
        <w:rPr>
          <w:rFonts w:hint="eastAsia"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本合同包的安全目标：</w:t>
      </w:r>
      <w:r>
        <w:rPr>
          <w:rFonts w:hint="eastAsia" w:ascii="Times New Roman" w:hAnsi="Times New Roman" w:cs="Times New Roman"/>
          <w:szCs w:val="21"/>
        </w:rPr>
        <w:t>___</w:t>
      </w:r>
      <w:r>
        <w:rPr>
          <w:rFonts w:hint="eastAsia" w:ascii="Times New Roman" w:hAnsi="Times New Roman"/>
          <w:szCs w:val="21"/>
          <w:u w:val="single"/>
        </w:rPr>
        <w:t>确保实施过程中无安全事故发生</w:t>
      </w:r>
      <w:r>
        <w:rPr>
          <w:rFonts w:hint="eastAsia" w:ascii="Times New Roman" w:hAnsi="Times New Roman" w:cs="Times New Roman"/>
          <w:szCs w:val="21"/>
        </w:rPr>
        <w:t>___。</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供应商资格要求</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服务</w:t>
      </w:r>
      <w:r>
        <w:rPr>
          <w:rFonts w:ascii="Times New Roman" w:hAnsi="Times New Roman" w:cs="Times New Roman"/>
          <w:szCs w:val="21"/>
        </w:rPr>
        <w:t>的资质条件、能力和信誉：见第一章</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采购邀请书第3.1款要求</w:t>
      </w:r>
      <w:r>
        <w:rPr>
          <w:rFonts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其他</w:t>
      </w:r>
      <w:r>
        <w:rPr>
          <w:rFonts w:hint="eastAsia" w:ascii="Times New Roman" w:hAnsi="Times New Roman" w:cs="Times New Roman"/>
          <w:szCs w:val="21"/>
        </w:rPr>
        <w:t>要求：</w:t>
      </w:r>
      <w:r>
        <w:rPr>
          <w:rFonts w:hint="eastAsia" w:ascii="Times New Roman" w:hAnsi="Times New Roman" w:cs="Times New Roman"/>
          <w:szCs w:val="21"/>
          <w:u w:val="single"/>
        </w:rPr>
        <w:t>_无_</w:t>
      </w:r>
      <w:r>
        <w:rPr>
          <w:rFonts w:hint="eastAsia" w:ascii="Times New Roman" w:hAnsi="Times New Roman" w:cs="Times New Roman"/>
          <w:szCs w:val="21"/>
        </w:rPr>
        <w:t>_</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分包</w:t>
      </w:r>
    </w:p>
    <w:p>
      <w:pPr>
        <w:spacing w:line="440" w:lineRule="exact"/>
        <w:ind w:firstLine="420"/>
        <w:rPr>
          <w:rFonts w:ascii="Times New Roman" w:hAnsi="Times New Roman" w:cs="Times New Roman"/>
        </w:rPr>
      </w:pPr>
      <w:r>
        <w:rPr>
          <w:rFonts w:hint="eastAsia" w:ascii="Times New Roman" w:hAnsi="Times New Roman" w:cs="Times New Roman"/>
        </w:rPr>
        <w:t>不允许分包。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通过安徽交控招标采购平台</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拟委任的主要人员</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（8）服务方案；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3.2 报价要求</w:t>
      </w:r>
    </w:p>
    <w:p>
      <w:pPr>
        <w:spacing w:line="440" w:lineRule="exact"/>
        <w:ind w:firstLine="420"/>
        <w:rPr>
          <w:rFonts w:ascii="Times New Roman" w:hAnsi="Times New Roman" w:cs="Times New Roman"/>
        </w:rPr>
      </w:pPr>
      <w:r>
        <w:rPr>
          <w:rFonts w:ascii="Times New Roman" w:hAnsi="Times New Roman" w:cs="Times New Roman"/>
        </w:rPr>
        <w:t>3.2.1 报价应包括国家规定的增值税税金</w:t>
      </w:r>
      <w:r>
        <w:rPr>
          <w:rFonts w:hint="eastAsia" w:ascii="Times New Roman" w:hAnsi="Times New Roman" w:cs="Times New Roman"/>
        </w:rPr>
        <w:t>，供应商应提供增值税专用发票</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u w:val="single"/>
        </w:rPr>
        <w:t>总价报价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报价的其他要求</w:t>
      </w:r>
      <w:r>
        <w:rPr>
          <w:rFonts w:hint="eastAsia" w:ascii="Times New Roman" w:hAnsi="Times New Roman" w:cs="Times New Roman"/>
        </w:rPr>
        <w:t>：</w:t>
      </w:r>
      <w:r>
        <w:rPr>
          <w:rFonts w:hint="eastAsia" w:ascii="宋体" w:hAnsi="宋体" w:eastAsia="宋体"/>
          <w:szCs w:val="21"/>
        </w:rPr>
        <w:t>报价高于限价的，按废标处理。</w:t>
      </w:r>
    </w:p>
    <w:p>
      <w:pPr>
        <w:spacing w:line="440" w:lineRule="exact"/>
        <w:rPr>
          <w:rFonts w:ascii="Times New Roman" w:hAnsi="Times New Roman" w:cs="Times New Roman"/>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r>
        <w:rPr>
          <w:rFonts w:ascii="Times New Roman" w:hAnsi="Times New Roman" w:eastAsia="黑体" w:cs="Times New Roman"/>
          <w:bCs/>
          <w:sz w:val="24"/>
          <w:szCs w:val="32"/>
        </w:rPr>
        <w:t>3.4响应保证金</w:t>
      </w:r>
    </w:p>
    <w:p>
      <w:pPr>
        <w:spacing w:line="440" w:lineRule="exact"/>
        <w:ind w:firstLine="420"/>
        <w:rPr>
          <w:rFonts w:ascii="Times New Roman" w:hAnsi="Times New Roman"/>
        </w:rPr>
      </w:pPr>
      <w:r>
        <w:rPr>
          <w:rFonts w:ascii="Times New Roman" w:hAnsi="Times New Roman" w:cs="Times New Roman"/>
        </w:rPr>
        <w:t xml:space="preserve">3.4.1 </w:t>
      </w:r>
      <w:r>
        <w:rPr>
          <w:rFonts w:hint="eastAsia" w:ascii="Times New Roman" w:hAnsi="Times New Roman" w:cs="Times New Roman"/>
        </w:rPr>
        <w:t>本项目无响应保证金。</w:t>
      </w:r>
    </w:p>
    <w:p>
      <w:pPr>
        <w:spacing w:line="440" w:lineRule="exact"/>
        <w:rPr>
          <w:rFonts w:ascii="Times New Roman" w:hAnsi="Times New Roman" w:cs="Times New Roman"/>
        </w:rPr>
      </w:pPr>
      <w:r>
        <w:rPr>
          <w:rFonts w:ascii="Times New Roman" w:hAnsi="Times New Roman" w:eastAsia="黑体" w:cs="Times New Roman"/>
          <w:bCs/>
          <w:sz w:val="24"/>
          <w:szCs w:val="32"/>
        </w:rPr>
        <w:t>3.5资格审查资料</w:t>
      </w:r>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款规定的资质、业绩、信誉等要求。</w:t>
      </w:r>
    </w:p>
    <w:p>
      <w:pPr>
        <w:spacing w:line="440" w:lineRule="exact"/>
        <w:rPr>
          <w:rFonts w:ascii="Times New Roman" w:hAnsi="Times New Roman" w:cs="Times New Roman"/>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.1响应文件应按第六章“响应文件格式”进行编写，如有必要，可以增加附页，作为响应文件的组成部分。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.2 响应文件应当对询比文件有关</w:t>
      </w:r>
      <w:r>
        <w:rPr>
          <w:rFonts w:hint="eastAsia" w:ascii="Times New Roman" w:hAnsi="Times New Roman" w:cs="Times New Roman"/>
        </w:rPr>
        <w:t>服务</w:t>
      </w:r>
      <w:r>
        <w:rPr>
          <w:rFonts w:ascii="Times New Roman" w:hAnsi="Times New Roman" w:cs="Times New Roman"/>
        </w:rPr>
        <w:t>期、响应有效期、质量要求、安全目标、技术标准和要求、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u w:val="single"/>
        </w:rPr>
        <w:t>一</w:t>
      </w:r>
      <w:r>
        <w:rPr>
          <w:rFonts w:ascii="Times New Roman" w:hAnsi="Times New Roman"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spacing w:line="440" w:lineRule="exact"/>
        <w:rPr>
          <w:rFonts w:ascii="Times New Roman" w:hAnsi="Times New Roman" w:cs="Times New Roman"/>
        </w:rPr>
      </w:pPr>
      <w:r>
        <w:rPr>
          <w:rFonts w:ascii="Times New Roman" w:hAnsi="Times New Roman" w:eastAsia="黑体" w:cs="Times New Roman"/>
          <w:bCs/>
          <w:sz w:val="24"/>
          <w:szCs w:val="32"/>
        </w:rPr>
        <w:t>4. 响应文件的递交</w:t>
      </w:r>
    </w:p>
    <w:p>
      <w:pPr>
        <w:spacing w:line="440" w:lineRule="exact"/>
        <w:rPr>
          <w:rFonts w:ascii="Times New Roman" w:hAnsi="Times New Roman" w:cs="Times New Roman"/>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Times New Roman" w:hAnsi="Times New Roman" w:eastAsia="黑体" w:cs="黑体"/>
          <w:bCs/>
          <w:snapToGrid w:val="0"/>
          <w:kern w:val="0"/>
          <w:szCs w:val="21"/>
          <w:u w:val="single"/>
        </w:rPr>
      </w:pPr>
      <w:r>
        <w:rPr>
          <w:rFonts w:hint="eastAsia" w:ascii="Times New Roman" w:hAnsi="Times New Roman" w:eastAsia="黑体" w:cs="黑体"/>
          <w:bCs/>
          <w:snapToGrid w:val="0"/>
          <w:kern w:val="0"/>
          <w:szCs w:val="21"/>
        </w:rPr>
        <w:t>供应商名称：</w:t>
      </w:r>
      <w:r>
        <w:rPr>
          <w:rFonts w:hint="eastAsia" w:ascii="黑体" w:hAnsi="黑体" w:eastAsia="黑体" w:cs="黑体"/>
          <w:bCs/>
          <w:snapToGrid w:val="0"/>
          <w:kern w:val="0"/>
          <w:szCs w:val="21"/>
          <w:u w:val="single"/>
        </w:rPr>
        <w:t xml:space="preserve">_      _        </w:t>
      </w:r>
    </w:p>
    <w:p>
      <w:pPr>
        <w:spacing w:line="440" w:lineRule="exact"/>
        <w:ind w:firstLine="525" w:firstLineChars="25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 xml:space="preserve"> (项目</w:t>
      </w:r>
      <w:r>
        <w:rPr>
          <w:rFonts w:hint="eastAsia" w:ascii="Times New Roman" w:hAnsi="Times New Roman" w:eastAsia="黑体" w:cs="黑体"/>
        </w:rPr>
        <w:t>名称</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在年月日时分（递交响应文件的截止时间）前不得开启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w:t>
      </w:r>
      <w:r>
        <w:rPr>
          <w:rFonts w:ascii="Times New Roman" w:hAnsi="Times New Roman"/>
        </w:rPr>
        <w:t>将予以拒收。</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5. 启封</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left="420" w:leftChars="20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5.2.1主持人按下列程序进行启封：</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（2）由供应商推选的代表检查响应文件的密封情况；</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对响应文件进行启封，公布供应商名称、合同包名称、报价、质量目标、安全目标、</w:t>
      </w:r>
      <w:r>
        <w:rPr>
          <w:rFonts w:hint="eastAsia" w:ascii="Times New Roman" w:hAnsi="Times New Roman" w:cs="Times New Roman"/>
          <w:bCs/>
        </w:rPr>
        <w:t>服务</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人代表、记录人等有关人员在</w:t>
      </w:r>
      <w:r>
        <w:rPr>
          <w:rFonts w:hint="eastAsia" w:ascii="Times New Roman" w:hAnsi="Times New Roman"/>
        </w:rPr>
        <w:t>启封</w:t>
      </w:r>
      <w:r>
        <w:rPr>
          <w:rFonts w:ascii="Times New Roman" w:hAnsi="Times New Roman"/>
        </w:rPr>
        <w:t>记录上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bCs/>
        </w:rPr>
      </w:pPr>
      <w:r>
        <w:rPr>
          <w:rFonts w:ascii="Times New Roman" w:hAnsi="Times New Roman" w:cs="Times New Roman"/>
          <w:bCs/>
        </w:rPr>
        <w:t>5.2.2若采用合理低价法或综合评分法，在响应文件启封中，采购人将按第三章“评审办法”规定的原则计算并宣布评审基准价。若采购人发现响应文件出现以下任一情况，其报价将不再参加评审基准价的计算：</w:t>
      </w:r>
    </w:p>
    <w:p>
      <w:pPr>
        <w:spacing w:line="440" w:lineRule="exact"/>
        <w:ind w:firstLine="420"/>
        <w:rPr>
          <w:rFonts w:ascii="Times New Roman" w:hAnsi="Times New Roman" w:cs="Times New Roman"/>
          <w:bCs/>
        </w:rPr>
      </w:pPr>
      <w:r>
        <w:rPr>
          <w:rFonts w:ascii="Times New Roman" w:hAnsi="Times New Roman" w:cs="Times New Roman"/>
          <w:bCs/>
        </w:rPr>
        <w:t>（1）报价超出采购人公布的最高限价</w:t>
      </w:r>
      <w:r>
        <w:rPr>
          <w:rFonts w:hint="eastAsia" w:ascii="Times New Roman" w:hAnsi="Times New Roman" w:cs="Times New Roman"/>
          <w:bCs/>
        </w:rPr>
        <w:t>；</w:t>
      </w:r>
    </w:p>
    <w:p>
      <w:pPr>
        <w:spacing w:line="440" w:lineRule="exact"/>
        <w:ind w:firstLine="420"/>
        <w:rPr>
          <w:rFonts w:ascii="Times New Roman" w:hAnsi="Times New Roman" w:cs="Times New Roman"/>
          <w:bCs/>
        </w:rPr>
      </w:pPr>
      <w:r>
        <w:rPr>
          <w:rFonts w:hint="eastAsia" w:ascii="Times New Roman" w:hAnsi="Times New Roman" w:cs="Times New Roman"/>
          <w:bCs/>
        </w:rPr>
        <w:t>（2）</w:t>
      </w:r>
      <w:r>
        <w:rPr>
          <w:rFonts w:ascii="Times New Roman" w:hAnsi="Times New Roman" w:cs="Times New Roman"/>
          <w:bCs/>
        </w:rPr>
        <w:t>未在报价函上填写总报价</w:t>
      </w:r>
      <w:r>
        <w:rPr>
          <w:rFonts w:hint="eastAsia" w:ascii="Times New Roman" w:hAnsi="Times New Roman" w:cs="Times New Roman"/>
          <w:bCs/>
        </w:rPr>
        <w:t>；</w:t>
      </w:r>
    </w:p>
    <w:p>
      <w:pPr>
        <w:spacing w:line="440" w:lineRule="exact"/>
        <w:ind w:firstLine="420"/>
        <w:rPr>
          <w:rFonts w:ascii="Times New Roman" w:hAnsi="Times New Roman" w:cs="Times New Roman"/>
          <w:bCs/>
        </w:rPr>
      </w:pPr>
      <w:r>
        <w:rPr>
          <w:rFonts w:hint="eastAsia" w:ascii="Times New Roman" w:hAnsi="Times New Roman" w:cs="Times New Roman"/>
          <w:bCs/>
        </w:rPr>
        <w:t>（3）报价函中的报价与已标价的报价清单总报价不一致（四舍五入除外）</w:t>
      </w:r>
      <w:r>
        <w:rPr>
          <w:rFonts w:ascii="Times New Roman" w:hAnsi="Times New Roman" w:cs="Times New Roman"/>
          <w:bCs/>
        </w:rPr>
        <w:t>；</w:t>
      </w:r>
    </w:p>
    <w:p>
      <w:pPr>
        <w:spacing w:line="440" w:lineRule="exact"/>
        <w:ind w:firstLine="420"/>
        <w:rPr>
          <w:rFonts w:ascii="Times New Roman" w:hAnsi="Times New Roman"/>
        </w:rPr>
      </w:pPr>
      <w:r>
        <w:rPr>
          <w:rFonts w:hint="eastAsia" w:ascii="Times New Roman" w:hAnsi="Times New Roman" w:cs="Times New Roman"/>
          <w:bCs/>
        </w:rPr>
        <w:t>（4）未按要求提交响应保证金（如有）；</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szCs w:val="21"/>
          <w:u w:val="single"/>
        </w:rPr>
        <w:t>_无__</w:t>
      </w:r>
      <w:r>
        <w:rPr>
          <w:rFonts w:hint="eastAsia" w:ascii="Times New Roman" w:hAnsi="Times New Roman" w:cs="Times New Roman"/>
          <w:szCs w:val="21"/>
        </w:rPr>
        <w:t>__（</w:t>
      </w:r>
      <w:r>
        <w:rPr>
          <w:rFonts w:ascii="Times New Roman" w:hAnsi="Times New Roman" w:cs="Times New Roman"/>
          <w:szCs w:val="21"/>
        </w:rPr>
        <w:t>其他情形</w:t>
      </w:r>
      <w:r>
        <w:rPr>
          <w:rFonts w:hint="eastAsia" w:ascii="Times New Roman" w:hAnsi="Times New Roman" w:cs="Times New Roman"/>
          <w:szCs w:val="21"/>
        </w:rPr>
        <w:t>）</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如果供应商认为某一合同包的评审基准价计算有误，有权在启封过程中提出，经采购人在启封过程中核实确认之后，可重新宣布评审基准价。启封过程中公布的评审基准价除计算有误，经</w:t>
      </w:r>
      <w:r>
        <w:rPr>
          <w:rFonts w:hint="eastAsia" w:ascii="Times New Roman" w:hAnsi="Times New Roman" w:cs="Times New Roman"/>
          <w:bCs/>
        </w:rPr>
        <w:t>评审小组</w:t>
      </w:r>
      <w:r>
        <w:rPr>
          <w:rFonts w:ascii="Times New Roman" w:hAnsi="Times New Roman" w:cs="Times New Roman"/>
          <w:bCs/>
        </w:rPr>
        <w:t>修正外，在整个评审期间保持不变，不随任何因素发生变化。</w:t>
      </w:r>
    </w:p>
    <w:p>
      <w:pPr>
        <w:spacing w:line="440" w:lineRule="exact"/>
        <w:ind w:firstLine="420"/>
        <w:rPr>
          <w:rFonts w:ascii="Times New Roman" w:hAnsi="Times New Roman" w:cs="Times New Roman"/>
        </w:rPr>
      </w:pPr>
      <w:r>
        <w:rPr>
          <w:rFonts w:hint="eastAsia" w:ascii="Times New Roman" w:hAnsi="Times New Roman" w:cs="Times New Roman"/>
        </w:rPr>
        <w:t>5.2.3</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6. 评审</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6.1</w:t>
      </w:r>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评审小组人数：3人（单数）</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7. 合同授予</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7.1成交候选人公示</w:t>
      </w:r>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7.2评审结果异议</w:t>
      </w:r>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spacing w:line="440" w:lineRule="exact"/>
        <w:ind w:firstLine="360" w:firstLineChars="150"/>
        <w:rPr>
          <w:rFonts w:ascii="Times New Roman" w:hAnsi="Times New Roman" w:cs="Times New Roman"/>
        </w:rPr>
      </w:pPr>
      <w:r>
        <w:rPr>
          <w:rFonts w:ascii="Times New Roman" w:hAnsi="Times New Roman" w:eastAsia="黑体" w:cs="Times New Roman"/>
          <w:bCs/>
          <w:sz w:val="24"/>
          <w:szCs w:val="32"/>
        </w:rPr>
        <w:t>7.3成交候选人履约能力审查</w:t>
      </w:r>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spacing w:line="440" w:lineRule="exact"/>
        <w:ind w:firstLine="360" w:firstLineChars="150"/>
        <w:rPr>
          <w:rFonts w:ascii="Times New Roman" w:hAnsi="Times New Roman" w:cs="Times New Roman"/>
        </w:rPr>
      </w:pPr>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8. 纪律和监督</w:t>
      </w:r>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spacing w:line="440" w:lineRule="exact"/>
        <w:ind w:firstLine="420"/>
        <w:rPr>
          <w:rFonts w:ascii="Times New Roman" w:hAnsi="Times New Roman" w:cs="Times New Roman"/>
        </w:rPr>
      </w:pPr>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投诉</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.1 供应商或其他利害关系人认为询比活动不符合法律法规规定的，可以自知道或应当知道之日起10日内向有关监督部门投诉。投诉应有明确的请求和必要的证明材料。</w:t>
      </w:r>
    </w:p>
    <w:p>
      <w:pPr>
        <w:spacing w:line="440" w:lineRule="exact"/>
        <w:ind w:firstLine="420"/>
        <w:rPr>
          <w:rFonts w:ascii="Times New Roman" w:hAnsi="Times New Roman" w:cs="Times New Roman"/>
        </w:rPr>
      </w:pPr>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w:t>
      </w:r>
      <w:r>
        <w:rPr>
          <w:rFonts w:hint="eastAsia" w:ascii="Times New Roman" w:hAnsi="Times New Roman" w:cs="Times New Roman"/>
          <w:u w:val="single"/>
        </w:rPr>
        <w:t>_____无______</w:t>
      </w:r>
      <w:r>
        <w:rPr>
          <w:rFonts w:hint="eastAsia" w:ascii="Times New Roman" w:hAnsi="Times New Roman" w:cs="Times New Roman"/>
        </w:rPr>
        <w:t>_。</w:t>
      </w:r>
    </w:p>
    <w:p>
      <w:pPr>
        <w:widowControl/>
        <w:ind w:firstLine="3465" w:firstLineChars="1650"/>
        <w:jc w:val="left"/>
        <w:rPr>
          <w:rFonts w:ascii="Times New Roman" w:hAnsi="Times New Roman" w:cs="Times New Roman"/>
        </w:rPr>
      </w:pPr>
      <w:r>
        <w:rPr>
          <w:rFonts w:ascii="Times New Roman" w:hAnsi="Times New Roman" w:cs="Times New Roman"/>
        </w:rPr>
        <w:br w:type="page"/>
      </w:r>
    </w:p>
    <w:p>
      <w:pPr>
        <w:widowControl/>
        <w:jc w:val="center"/>
        <w:rPr>
          <w:rFonts w:ascii="Times New Roman" w:hAnsi="Times New Roman" w:cs="Times New Roman"/>
          <w:sz w:val="24"/>
          <w:szCs w:val="28"/>
        </w:rPr>
      </w:pPr>
      <w:r>
        <w:rPr>
          <w:rFonts w:hint="eastAsia" w:ascii="宋体" w:hAnsi="宋体" w:eastAsia="宋体" w:cs="宋体"/>
          <w:b/>
          <w:sz w:val="36"/>
          <w:szCs w:val="36"/>
        </w:rPr>
        <w:t>第三章 评审办法</w:t>
      </w:r>
    </w:p>
    <w:p>
      <w:pPr>
        <w:widowControl/>
        <w:jc w:val="center"/>
        <w:rPr>
          <w:rFonts w:ascii="Times New Roman" w:hAnsi="Times New Roman" w:cs="Times New Roman"/>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24"/>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74"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06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pPr>
              <w:widowControl/>
              <w:adjustRightInd w:val="0"/>
              <w:snapToGrid w:val="0"/>
              <w:jc w:val="left"/>
            </w:pPr>
            <w:r>
              <w:rPr>
                <w:rFonts w:hint="eastAsia"/>
              </w:rPr>
              <w:t>按综合得分由高到低的顺序依次推荐成交候选人：</w:t>
            </w:r>
          </w:p>
          <w:p>
            <w:pPr>
              <w:widowControl/>
              <w:adjustRightInd w:val="0"/>
              <w:snapToGrid w:val="0"/>
              <w:jc w:val="left"/>
            </w:pPr>
            <w:r>
              <w:rPr>
                <w:rFonts w:hint="eastAsia"/>
              </w:rPr>
              <w:t>当综合得分相等时，以评审价得分高的优先；评审价得分也相等的，以评审价低的优先；评审价也相等的，以递交响应文件在前的优先。</w:t>
            </w:r>
          </w:p>
          <w:p>
            <w:pPr>
              <w:pStyle w:val="2"/>
              <w:adjustRightInd w:val="0"/>
              <w:snapToGrid w:val="0"/>
            </w:pPr>
          </w:p>
        </w:tc>
      </w:tr>
    </w:tbl>
    <w:p>
      <w:pPr>
        <w:adjustRightInd w:val="0"/>
        <w:snapToGrid w:val="0"/>
        <w:spacing w:line="360" w:lineRule="auto"/>
        <w:ind w:firstLine="420"/>
        <w:textAlignment w:val="baseline"/>
        <w:rPr>
          <w:rFonts w:ascii="Times New Roman" w:hAnsi="Times New Roman" w:cs="Times New Roman"/>
          <w:szCs w:val="21"/>
        </w:rPr>
      </w:pPr>
    </w:p>
    <w:tbl>
      <w:tblPr>
        <w:tblStyle w:val="24"/>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符合第二章“供应商须知”第3.</w:t>
            </w:r>
            <w:r>
              <w:rPr>
                <w:rFonts w:hint="eastAsia" w:ascii="Times New Roman" w:hAnsi="Times New Roman" w:cs="Times New Roman"/>
                <w:bCs/>
                <w:kern w:val="0"/>
                <w:szCs w:val="21"/>
              </w:rPr>
              <w:t>6</w:t>
            </w:r>
            <w:r>
              <w:rPr>
                <w:rFonts w:ascii="Times New Roman" w:hAnsi="Times New Roman"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096"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服务期</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安全目标</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w:t>
            </w:r>
            <w:r>
              <w:rPr>
                <w:rFonts w:hint="eastAsia" w:ascii="Times New Roman" w:hAnsi="Times New Roman" w:cs="Times New Roman"/>
                <w:kern w:val="0"/>
                <w:szCs w:val="21"/>
              </w:rPr>
              <w:t>2</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rPr>
            </w:pPr>
            <w:r>
              <w:rPr>
                <w:rFonts w:hint="eastAsia" w:ascii="Times New Roman" w:hAnsi="Times New Roman"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）同一供应商未递交两个以上不同的报价。</w:t>
            </w:r>
          </w:p>
          <w:p>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hint="eastAsia" w:ascii="Times New Roman" w:hAnsi="Times New Roman" w:cs="Times New Roman"/>
              </w:rPr>
              <w:t>5</w:t>
            </w:r>
            <w:r>
              <w:rPr>
                <w:rFonts w:ascii="Times New Roman" w:hAnsi="Times New Roman" w:cs="Times New Roman"/>
              </w:rPr>
              <w:t>）供应商</w:t>
            </w:r>
            <w:r>
              <w:rPr>
                <w:rFonts w:hint="eastAsia" w:ascii="Times New Roman" w:hAnsi="Times New Roman" w:cs="Times New Roman"/>
              </w:rPr>
              <w:t>按</w:t>
            </w:r>
            <w:r>
              <w:rPr>
                <w:rFonts w:ascii="Times New Roman" w:hAnsi="Times New Roman" w:cs="Times New Roman"/>
              </w:rPr>
              <w:t>采购人提供的书面</w:t>
            </w:r>
            <w:r>
              <w:rPr>
                <w:rFonts w:hint="eastAsia" w:ascii="Times New Roman" w:hAnsi="Times New Roman" w:cs="Times New Roman"/>
              </w:rPr>
              <w:t>报价清单填写了报价，且未修改报价清单说明、数量等实质性内容</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）已标价</w:t>
            </w:r>
            <w:r>
              <w:rPr>
                <w:rFonts w:hint="eastAsia" w:ascii="Times New Roman" w:hAnsi="Times New Roman" w:cs="Times New Roman"/>
                <w:kern w:val="0"/>
                <w:szCs w:val="21"/>
              </w:rPr>
              <w:t>报价清单</w:t>
            </w:r>
            <w:r>
              <w:rPr>
                <w:rFonts w:ascii="Times New Roman" w:hAnsi="Times New Roman"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line="360" w:lineRule="atLeast"/>
        <w:jc w:val="center"/>
        <w:rPr>
          <w:rFonts w:ascii="Times New Roman" w:hAnsi="Times New Roman" w:cs="Times New Roman"/>
        </w:rPr>
      </w:pPr>
    </w:p>
    <w:tbl>
      <w:tblPr>
        <w:tblStyle w:val="24"/>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vAlign w:val="center"/>
          </w:tcPr>
          <w:p>
            <w:pPr>
              <w:snapToGrid w:val="0"/>
              <w:jc w:val="center"/>
              <w:rPr>
                <w:rFonts w:ascii="Times New Roman" w:hAnsi="Times New Roman" w:cs="Times New Roman"/>
                <w:b/>
                <w:bCs/>
                <w:kern w:val="0"/>
                <w:szCs w:val="21"/>
              </w:rPr>
            </w:pPr>
            <w:r>
              <w:rPr>
                <w:rFonts w:ascii="Times New Roman" w:hAnsi="Times New Roman" w:cs="Times New Roman"/>
                <w:b/>
                <w:bCs/>
                <w:kern w:val="0"/>
                <w:szCs w:val="21"/>
              </w:rPr>
              <w:t>条款号</w:t>
            </w:r>
          </w:p>
        </w:tc>
        <w:tc>
          <w:tcPr>
            <w:tcW w:w="1276" w:type="dxa"/>
            <w:tcMar>
              <w:left w:w="75" w:type="dxa"/>
            </w:tcMar>
            <w:vAlign w:val="center"/>
          </w:tcPr>
          <w:p>
            <w:pPr>
              <w:snapToGrid w:val="0"/>
              <w:jc w:val="center"/>
              <w:rPr>
                <w:rFonts w:ascii="Times New Roman" w:hAnsi="Times New Roman" w:cs="Times New Roman"/>
                <w:b/>
                <w:bCs/>
                <w:kern w:val="0"/>
                <w:szCs w:val="21"/>
              </w:rPr>
            </w:pPr>
            <w:r>
              <w:rPr>
                <w:rFonts w:ascii="Times New Roman" w:hAnsi="Times New Roman" w:cs="Times New Roman"/>
                <w:b/>
                <w:bCs/>
                <w:kern w:val="0"/>
                <w:szCs w:val="21"/>
              </w:rPr>
              <w:t>条款内容</w:t>
            </w:r>
          </w:p>
        </w:tc>
        <w:tc>
          <w:tcPr>
            <w:tcW w:w="6232" w:type="dxa"/>
            <w:vAlign w:val="center"/>
          </w:tcPr>
          <w:p>
            <w:pPr>
              <w:widowControl/>
              <w:snapToGrid w:val="0"/>
              <w:jc w:val="center"/>
              <w:rPr>
                <w:rFonts w:ascii="Times New Roman" w:hAnsi="Times New Roman" w:cs="Times New Roman"/>
                <w:b/>
                <w:bCs/>
                <w:kern w:val="0"/>
                <w:szCs w:val="21"/>
              </w:rPr>
            </w:pPr>
            <w:r>
              <w:rPr>
                <w:rFonts w:ascii="Times New Roman" w:hAnsi="Times New Roman"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vAlign w:val="center"/>
          </w:tcPr>
          <w:p>
            <w:pPr>
              <w:snapToGrid w:val="0"/>
              <w:jc w:val="center"/>
              <w:rPr>
                <w:rFonts w:ascii="Times New Roman" w:hAnsi="Times New Roman" w:cs="Times New Roman"/>
                <w:bCs/>
                <w:kern w:val="0"/>
                <w:szCs w:val="21"/>
              </w:rPr>
            </w:pPr>
            <w:r>
              <w:rPr>
                <w:rFonts w:ascii="Times New Roman" w:hAnsi="Times New Roman" w:cs="Times New Roman"/>
                <w:bCs/>
                <w:kern w:val="0"/>
                <w:szCs w:val="21"/>
              </w:rPr>
              <w:t>2.2.1</w:t>
            </w:r>
          </w:p>
        </w:tc>
        <w:tc>
          <w:tcPr>
            <w:tcW w:w="1276" w:type="dxa"/>
            <w:tcMar>
              <w:left w:w="75" w:type="dxa"/>
            </w:tcMar>
            <w:vAlign w:val="center"/>
          </w:tcPr>
          <w:p>
            <w:pPr>
              <w:snapToGrid w:val="0"/>
              <w:jc w:val="left"/>
              <w:rPr>
                <w:rFonts w:ascii="Times New Roman" w:hAnsi="Times New Roman" w:cs="Times New Roman"/>
                <w:bCs/>
                <w:kern w:val="0"/>
                <w:szCs w:val="21"/>
              </w:rPr>
            </w:pPr>
            <w:r>
              <w:rPr>
                <w:rFonts w:ascii="Times New Roman" w:hAnsi="Times New Roman" w:cs="Times New Roman"/>
                <w:szCs w:val="21"/>
              </w:rPr>
              <w:t>分值构成（100分）</w:t>
            </w:r>
          </w:p>
        </w:tc>
        <w:tc>
          <w:tcPr>
            <w:tcW w:w="6232" w:type="dxa"/>
            <w:vAlign w:val="center"/>
          </w:tcPr>
          <w:p>
            <w:pPr>
              <w:spacing w:line="360" w:lineRule="atLeast"/>
              <w:ind w:firstLine="420"/>
              <w:rPr>
                <w:rFonts w:ascii="Times New Roman" w:hAnsi="Times New Roman" w:cs="Times New Roman"/>
                <w:szCs w:val="21"/>
                <w:u w:val="single"/>
              </w:rPr>
            </w:pPr>
            <w:r>
              <w:rPr>
                <w:rFonts w:hint="eastAsia" w:ascii="Times New Roman" w:hAnsi="Times New Roman" w:cs="Times New Roman"/>
                <w:szCs w:val="21"/>
              </w:rPr>
              <w:t>业绩</w:t>
            </w:r>
            <w:r>
              <w:rPr>
                <w:rFonts w:ascii="Times New Roman" w:hAnsi="Times New Roman" w:cs="Times New Roman"/>
                <w:szCs w:val="21"/>
              </w:rPr>
              <w:t>：</w:t>
            </w:r>
            <w:r>
              <w:rPr>
                <w:rFonts w:hint="eastAsia" w:ascii="Times New Roman" w:hAnsi="Times New Roman" w:cs="Times New Roman"/>
                <w:szCs w:val="21"/>
                <w:u w:val="single"/>
              </w:rPr>
              <w:t>15</w:t>
            </w:r>
            <w:r>
              <w:rPr>
                <w:rFonts w:ascii="Times New Roman" w:hAnsi="Times New Roman" w:cs="Times New Roman"/>
                <w:szCs w:val="21"/>
                <w:u w:val="single"/>
              </w:rPr>
              <w:t>分</w:t>
            </w:r>
          </w:p>
          <w:p>
            <w:pPr>
              <w:spacing w:line="360" w:lineRule="atLeast"/>
              <w:ind w:firstLine="420"/>
              <w:rPr>
                <w:rFonts w:ascii="Times New Roman" w:hAnsi="Times New Roman" w:cs="Times New Roman"/>
                <w:szCs w:val="21"/>
                <w:u w:val="single"/>
              </w:rPr>
            </w:pPr>
            <w:r>
              <w:rPr>
                <w:rFonts w:hint="eastAsia" w:ascii="Times New Roman" w:hAnsi="Times New Roman" w:cs="Times New Roman"/>
                <w:szCs w:val="21"/>
              </w:rPr>
              <w:t>人员</w:t>
            </w:r>
            <w:r>
              <w:rPr>
                <w:rFonts w:ascii="Times New Roman" w:hAnsi="Times New Roman" w:cs="Times New Roman"/>
                <w:szCs w:val="21"/>
              </w:rPr>
              <w:t>：</w:t>
            </w:r>
            <w:r>
              <w:rPr>
                <w:rFonts w:hint="eastAsia" w:ascii="Times New Roman" w:hAnsi="Times New Roman" w:cs="Times New Roman"/>
                <w:szCs w:val="21"/>
                <w:u w:val="single"/>
              </w:rPr>
              <w:t>25</w:t>
            </w:r>
            <w:r>
              <w:rPr>
                <w:rFonts w:ascii="Times New Roman" w:hAnsi="Times New Roman" w:cs="Times New Roman"/>
                <w:szCs w:val="21"/>
                <w:u w:val="single"/>
              </w:rPr>
              <w:t>分</w:t>
            </w:r>
          </w:p>
          <w:p>
            <w:pPr>
              <w:spacing w:line="360" w:lineRule="atLeast"/>
              <w:ind w:firstLine="420"/>
              <w:rPr>
                <w:rFonts w:ascii="Times New Roman" w:hAnsi="Times New Roman" w:cs="Times New Roman"/>
                <w:szCs w:val="21"/>
                <w:u w:val="single"/>
              </w:rPr>
            </w:pPr>
            <w:r>
              <w:rPr>
                <w:rFonts w:hint="eastAsia" w:ascii="Times New Roman" w:hAnsi="Times New Roman" w:cs="Times New Roman"/>
                <w:szCs w:val="21"/>
              </w:rPr>
              <w:t>服务方案</w:t>
            </w:r>
            <w:r>
              <w:rPr>
                <w:rFonts w:ascii="Times New Roman" w:hAnsi="Times New Roman" w:cs="Times New Roman"/>
                <w:szCs w:val="21"/>
              </w:rPr>
              <w:t>：</w:t>
            </w:r>
            <w:r>
              <w:rPr>
                <w:rFonts w:hint="eastAsia" w:ascii="Times New Roman" w:hAnsi="Times New Roman" w:cs="Times New Roman"/>
                <w:szCs w:val="21"/>
                <w:u w:val="single"/>
              </w:rPr>
              <w:t>40</w:t>
            </w:r>
            <w:r>
              <w:rPr>
                <w:rFonts w:ascii="Times New Roman" w:hAnsi="Times New Roman" w:cs="Times New Roman"/>
                <w:szCs w:val="21"/>
                <w:u w:val="single"/>
              </w:rPr>
              <w:t>分</w:t>
            </w:r>
          </w:p>
          <w:p>
            <w:pPr>
              <w:spacing w:line="360" w:lineRule="atLeast"/>
              <w:ind w:firstLine="420"/>
              <w:rPr>
                <w:rFonts w:ascii="Times New Roman" w:hAnsi="Times New Roman" w:cs="Times New Roman"/>
                <w:kern w:val="0"/>
                <w:szCs w:val="21"/>
              </w:rPr>
            </w:pPr>
            <w:r>
              <w:rPr>
                <w:rFonts w:ascii="Times New Roman" w:hAnsi="Times New Roman" w:cs="Times New Roman"/>
                <w:szCs w:val="21"/>
              </w:rPr>
              <w:t>评审价：</w:t>
            </w:r>
            <w:r>
              <w:rPr>
                <w:rFonts w:hint="eastAsia" w:ascii="Times New Roman" w:hAnsi="Times New Roman" w:cs="Times New Roman"/>
                <w:szCs w:val="21"/>
                <w:u w:val="single"/>
              </w:rPr>
              <w:t>20</w:t>
            </w:r>
            <w:r>
              <w:rPr>
                <w:rFonts w:ascii="Times New Roman" w:hAnsi="Times New Roman" w:cs="Times New Roman"/>
                <w:szCs w:val="21"/>
                <w:u w:val="singl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cs="Times New Roman"/>
                <w:bCs/>
                <w:kern w:val="0"/>
                <w:szCs w:val="21"/>
              </w:rPr>
            </w:pPr>
            <w:r>
              <w:rPr>
                <w:rFonts w:ascii="Times New Roman" w:hAnsi="Times New Roman"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cs="Times New Roman"/>
                <w:szCs w:val="21"/>
              </w:rPr>
            </w:pPr>
            <w:r>
              <w:rPr>
                <w:rFonts w:ascii="Times New Roman" w:hAnsi="Times New Roman"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cs="Times New Roman"/>
                <w:szCs w:val="21"/>
              </w:rPr>
            </w:pPr>
            <w:r>
              <w:rPr>
                <w:rFonts w:ascii="Times New Roman" w:hAnsi="Times New Roman" w:cs="Times New Roman"/>
                <w:szCs w:val="21"/>
              </w:rPr>
              <w:t>评审基准价的计算：</w:t>
            </w:r>
          </w:p>
          <w:p>
            <w:pPr>
              <w:spacing w:line="360" w:lineRule="atLeast"/>
              <w:ind w:firstLine="420"/>
              <w:rPr>
                <w:rFonts w:ascii="Times New Roman" w:hAnsi="Times New Roman" w:cs="Times New Roman"/>
                <w:szCs w:val="21"/>
              </w:rPr>
            </w:pPr>
            <w:r>
              <w:rPr>
                <w:rFonts w:ascii="Times New Roman" w:hAnsi="Times New Roman" w:cs="Times New Roman"/>
                <w:szCs w:val="21"/>
              </w:rPr>
              <w:t>在启封现场，采购人将当场计算并宣布评审基准价。</w:t>
            </w:r>
          </w:p>
          <w:p>
            <w:pPr>
              <w:spacing w:line="360" w:lineRule="atLeast"/>
              <w:ind w:firstLine="420"/>
              <w:rPr>
                <w:rFonts w:ascii="Times New Roman" w:hAnsi="Times New Roman" w:cs="Times New Roman"/>
                <w:szCs w:val="21"/>
              </w:rPr>
            </w:pPr>
            <w:r>
              <w:rPr>
                <w:rFonts w:ascii="Times New Roman" w:hAnsi="Times New Roman" w:cs="Times New Roman"/>
                <w:szCs w:val="21"/>
              </w:rPr>
              <w:t>（1）评审价的确定：</w:t>
            </w:r>
          </w:p>
          <w:p>
            <w:pPr>
              <w:spacing w:line="360" w:lineRule="atLeast"/>
              <w:ind w:firstLine="420"/>
              <w:rPr>
                <w:rFonts w:ascii="Times New Roman" w:hAnsi="Times New Roman" w:cs="Times New Roman"/>
                <w:szCs w:val="21"/>
              </w:rPr>
            </w:pPr>
            <w:r>
              <w:rPr>
                <w:rFonts w:ascii="Times New Roman" w:hAnsi="Times New Roman" w:cs="Times New Roman"/>
                <w:szCs w:val="21"/>
              </w:rPr>
              <w:t>评审价＝报价函文字报价</w:t>
            </w:r>
            <w:r>
              <w:rPr>
                <w:rFonts w:hint="eastAsia" w:ascii="Times New Roman" w:hAnsi="Times New Roman" w:cs="Times New Roman"/>
                <w:szCs w:val="21"/>
              </w:rPr>
              <w:t>（大小写不一致时以大写为准）</w:t>
            </w:r>
          </w:p>
          <w:p>
            <w:pPr>
              <w:spacing w:line="360" w:lineRule="atLeast"/>
              <w:ind w:firstLine="420"/>
              <w:rPr>
                <w:rFonts w:ascii="Times New Roman" w:hAnsi="Times New Roman" w:cs="Times New Roman"/>
                <w:szCs w:val="21"/>
              </w:rPr>
            </w:pPr>
            <w:r>
              <w:rPr>
                <w:rFonts w:ascii="Times New Roman" w:hAnsi="Times New Roman" w:cs="Times New Roman"/>
                <w:szCs w:val="21"/>
              </w:rPr>
              <w:t>（2）评审价平均值的计算：</w:t>
            </w:r>
          </w:p>
          <w:p>
            <w:pPr>
              <w:spacing w:line="360" w:lineRule="atLeast"/>
              <w:ind w:firstLine="420"/>
              <w:rPr>
                <w:rFonts w:ascii="Times New Roman" w:hAnsi="Times New Roman" w:cs="Times New Roman"/>
                <w:szCs w:val="21"/>
              </w:rPr>
            </w:pPr>
            <w:r>
              <w:rPr>
                <w:rFonts w:ascii="Times New Roman" w:hAnsi="Times New Roman" w:cs="Times New Roman"/>
                <w:szCs w:val="21"/>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cs="Times New Roman"/>
                <w:szCs w:val="21"/>
              </w:rPr>
            </w:pPr>
            <w:r>
              <w:rPr>
                <w:rFonts w:ascii="Times New Roman" w:hAnsi="Times New Roman" w:cs="Times New Roman"/>
                <w:szCs w:val="21"/>
              </w:rPr>
              <w:t>（3）评审基准价的确定：</w:t>
            </w:r>
          </w:p>
          <w:p>
            <w:pPr>
              <w:spacing w:line="360" w:lineRule="atLeast"/>
              <w:ind w:firstLine="420"/>
              <w:rPr>
                <w:rFonts w:ascii="Times New Roman" w:hAnsi="Times New Roman" w:cs="Times New Roman"/>
                <w:szCs w:val="21"/>
              </w:rPr>
            </w:pPr>
            <w:r>
              <w:rPr>
                <w:rFonts w:ascii="Times New Roman" w:hAnsi="Times New Roman" w:cs="Times New Roman"/>
                <w:szCs w:val="21"/>
              </w:rPr>
              <w:t>将评审价平均值直接作为评审基准价。</w:t>
            </w:r>
          </w:p>
          <w:p>
            <w:pPr>
              <w:spacing w:line="360" w:lineRule="atLeast"/>
              <w:ind w:firstLine="420"/>
              <w:rPr>
                <w:rFonts w:ascii="Times New Roman" w:hAnsi="Times New Roman" w:cs="Times New Roman"/>
                <w:szCs w:val="21"/>
              </w:rPr>
            </w:pPr>
            <w:r>
              <w:rPr>
                <w:rFonts w:ascii="Times New Roman" w:hAnsi="Times New Roman" w:cs="Times New Roman"/>
                <w:szCs w:val="21"/>
              </w:rPr>
              <w:t>在评审过程中，</w:t>
            </w:r>
            <w:r>
              <w:rPr>
                <w:rFonts w:hint="eastAsia" w:ascii="Times New Roman" w:hAnsi="Times New Roman" w:cs="Times New Roman"/>
                <w:szCs w:val="21"/>
              </w:rPr>
              <w:t>评审小组</w:t>
            </w:r>
            <w:r>
              <w:rPr>
                <w:rFonts w:ascii="Times New Roman" w:hAnsi="Times New Roman" w:cs="Times New Roman"/>
                <w:szCs w:val="21"/>
              </w:rPr>
              <w:t>应对采购人计算的评审基准价进行复核，存在计算错误的应予以修正并在评审报告中作出说明。除此之外，评审基准价在整个评审期间保持不变，不随任何因素发生变化。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tcBorders>
              <w:top w:val="single" w:color="auto" w:sz="4" w:space="0"/>
              <w:right w:val="single" w:color="auto" w:sz="4" w:space="0"/>
            </w:tcBorders>
            <w:vAlign w:val="center"/>
          </w:tcPr>
          <w:p>
            <w:pPr>
              <w:snapToGrid w:val="0"/>
              <w:jc w:val="center"/>
              <w:rPr>
                <w:rFonts w:ascii="Times New Roman" w:hAnsi="Times New Roman" w:cs="Times New Roman"/>
                <w:szCs w:val="21"/>
              </w:rPr>
            </w:pPr>
            <w:r>
              <w:rPr>
                <w:rFonts w:ascii="Times New Roman" w:hAnsi="Times New Roman"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cs="Times New Roman"/>
                <w:szCs w:val="21"/>
              </w:rPr>
            </w:pPr>
            <w:r>
              <w:rPr>
                <w:rFonts w:ascii="Times New Roman" w:hAnsi="Times New Roman"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cs="Times New Roman"/>
                <w:szCs w:val="21"/>
              </w:rPr>
            </w:pPr>
            <w:r>
              <w:rPr>
                <w:rFonts w:ascii="Times New Roman" w:hAnsi="Times New Roman" w:cs="Times New Roman"/>
                <w:szCs w:val="21"/>
              </w:rPr>
              <w:t>偏差率=100% ×（供应商评审价－评审基准价）/评审基准价</w:t>
            </w:r>
          </w:p>
          <w:p>
            <w:pPr>
              <w:spacing w:line="360" w:lineRule="atLeast"/>
              <w:ind w:firstLine="420"/>
              <w:rPr>
                <w:rFonts w:ascii="Times New Roman" w:hAnsi="Times New Roman" w:cs="Times New Roman"/>
                <w:szCs w:val="21"/>
              </w:rPr>
            </w:pPr>
            <w:r>
              <w:rPr>
                <w:rFonts w:ascii="Times New Roman" w:hAnsi="Times New Roman" w:cs="Times New Roman"/>
                <w:szCs w:val="21"/>
              </w:rPr>
              <w:t>偏差率保留</w:t>
            </w:r>
            <w:r>
              <w:rPr>
                <w:rFonts w:hint="eastAsia" w:ascii="Times New Roman" w:hAnsi="Times New Roman" w:cs="Times New Roman"/>
                <w:szCs w:val="21"/>
                <w:u w:val="single"/>
              </w:rPr>
              <w:t>2</w:t>
            </w:r>
            <w:r>
              <w:rPr>
                <w:rFonts w:ascii="Times New Roman" w:hAnsi="Times New Roman" w:cs="Times New Roman"/>
                <w:szCs w:val="21"/>
              </w:rPr>
              <w:t>位小数</w:t>
            </w:r>
          </w:p>
        </w:tc>
      </w:tr>
    </w:tbl>
    <w:p>
      <w:pPr>
        <w:jc w:val="right"/>
        <w:rPr>
          <w:rFonts w:ascii="Times New Roman" w:hAnsi="Times New Roman" w:cs="Times New Roman"/>
          <w:spacing w:val="4"/>
          <w:szCs w:val="21"/>
        </w:rPr>
      </w:pPr>
    </w:p>
    <w:p>
      <w:pPr>
        <w:jc w:val="left"/>
        <w:rPr>
          <w:rFonts w:ascii="Times New Roman" w:hAnsi="Times New Roman" w:cs="Times New Roman"/>
          <w:spacing w:val="4"/>
          <w:szCs w:val="21"/>
        </w:rPr>
      </w:pPr>
      <w:r>
        <w:rPr>
          <w:rFonts w:ascii="Times New Roman" w:hAnsi="Times New Roman" w:cs="Times New Roman"/>
          <w:spacing w:val="4"/>
          <w:szCs w:val="21"/>
        </w:rPr>
        <w:br w:type="page"/>
      </w:r>
    </w:p>
    <w:p>
      <w:pPr>
        <w:jc w:val="right"/>
        <w:rPr>
          <w:rFonts w:ascii="Times New Roman" w:hAnsi="Times New Roman" w:cs="Times New Roman"/>
        </w:rPr>
      </w:pPr>
      <w:r>
        <w:rPr>
          <w:rFonts w:ascii="Times New Roman" w:hAnsi="Times New Roman" w:cs="Times New Roman"/>
          <w:spacing w:val="4"/>
          <w:szCs w:val="21"/>
        </w:rPr>
        <w:t>续上表</w:t>
      </w:r>
    </w:p>
    <w:tbl>
      <w:tblPr>
        <w:tblStyle w:val="24"/>
        <w:tblW w:w="9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635"/>
        <w:gridCol w:w="1005"/>
        <w:gridCol w:w="2877"/>
        <w:gridCol w:w="756"/>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33" w:type="dxa"/>
            <w:gridSpan w:val="5"/>
            <w:tcBorders>
              <w:top w:val="single" w:color="auto" w:sz="4" w:space="0"/>
            </w:tcBorders>
          </w:tcPr>
          <w:p>
            <w:pPr>
              <w:spacing w:line="380" w:lineRule="atLeast"/>
              <w:jc w:val="center"/>
              <w:rPr>
                <w:rFonts w:ascii="Times New Roman" w:hAnsi="Times New Roman" w:cs="Times New Roman"/>
                <w:b/>
                <w:szCs w:val="21"/>
              </w:rPr>
            </w:pPr>
            <w:r>
              <w:rPr>
                <w:rFonts w:ascii="Times New Roman" w:hAnsi="Times New Roman" w:cs="Times New Roman"/>
                <w:b/>
                <w:szCs w:val="21"/>
              </w:rPr>
              <w:t>评分因素与权重分值</w:t>
            </w:r>
          </w:p>
        </w:tc>
        <w:tc>
          <w:tcPr>
            <w:tcW w:w="1771" w:type="dxa"/>
            <w:vMerge w:val="restart"/>
            <w:tcBorders>
              <w:top w:val="single" w:color="auto" w:sz="4" w:space="0"/>
            </w:tcBorders>
            <w:vAlign w:val="center"/>
          </w:tcPr>
          <w:p>
            <w:pPr>
              <w:spacing w:line="380" w:lineRule="atLeast"/>
              <w:jc w:val="center"/>
              <w:rPr>
                <w:rFonts w:ascii="Times New Roman" w:hAnsi="Times New Roman" w:cs="Times New Roman"/>
                <w:b/>
                <w:szCs w:val="21"/>
              </w:rPr>
            </w:pPr>
            <w:r>
              <w:rPr>
                <w:rFonts w:ascii="Times New Roman" w:hAnsi="Times New Roman"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60" w:type="dxa"/>
            <w:vAlign w:val="center"/>
          </w:tcPr>
          <w:p>
            <w:pPr>
              <w:spacing w:line="380" w:lineRule="atLeast"/>
              <w:jc w:val="center"/>
              <w:rPr>
                <w:rFonts w:ascii="Times New Roman" w:hAnsi="Times New Roman" w:cs="Times New Roman"/>
                <w:b/>
                <w:szCs w:val="21"/>
              </w:rPr>
            </w:pPr>
            <w:r>
              <w:rPr>
                <w:rFonts w:ascii="Times New Roman" w:hAnsi="Times New Roman" w:cs="Times New Roman"/>
                <w:b/>
                <w:szCs w:val="21"/>
              </w:rPr>
              <w:t>条款号</w:t>
            </w:r>
          </w:p>
        </w:tc>
        <w:tc>
          <w:tcPr>
            <w:tcW w:w="1635" w:type="dxa"/>
            <w:vAlign w:val="center"/>
          </w:tcPr>
          <w:p>
            <w:pPr>
              <w:spacing w:line="380" w:lineRule="atLeast"/>
              <w:jc w:val="center"/>
              <w:rPr>
                <w:rFonts w:ascii="Times New Roman" w:hAnsi="Times New Roman" w:cs="Times New Roman"/>
                <w:b/>
                <w:szCs w:val="21"/>
              </w:rPr>
            </w:pPr>
            <w:r>
              <w:rPr>
                <w:rFonts w:ascii="Times New Roman" w:hAnsi="Times New Roman" w:cs="Times New Roman"/>
                <w:b/>
                <w:szCs w:val="21"/>
              </w:rPr>
              <w:t>评分因素</w:t>
            </w:r>
          </w:p>
        </w:tc>
        <w:tc>
          <w:tcPr>
            <w:tcW w:w="1005" w:type="dxa"/>
            <w:vAlign w:val="center"/>
          </w:tcPr>
          <w:p>
            <w:pPr>
              <w:spacing w:line="380" w:lineRule="atLeast"/>
              <w:ind w:left="-105" w:leftChars="-50" w:right="-105" w:rightChars="-50"/>
              <w:jc w:val="center"/>
              <w:rPr>
                <w:rFonts w:ascii="Times New Roman" w:hAnsi="Times New Roman" w:cs="Times New Roman"/>
                <w:b/>
                <w:szCs w:val="21"/>
              </w:rPr>
            </w:pPr>
            <w:r>
              <w:rPr>
                <w:rFonts w:ascii="Times New Roman" w:hAnsi="Times New Roman" w:cs="Times New Roman"/>
                <w:b/>
                <w:szCs w:val="21"/>
              </w:rPr>
              <w:t>评分因素权重分值</w:t>
            </w:r>
          </w:p>
        </w:tc>
        <w:tc>
          <w:tcPr>
            <w:tcW w:w="2877" w:type="dxa"/>
            <w:vAlign w:val="center"/>
          </w:tcPr>
          <w:p>
            <w:pPr>
              <w:spacing w:line="380" w:lineRule="atLeast"/>
              <w:jc w:val="center"/>
              <w:rPr>
                <w:rFonts w:ascii="Times New Roman" w:hAnsi="Times New Roman" w:cs="Times New Roman"/>
                <w:b/>
                <w:szCs w:val="21"/>
              </w:rPr>
            </w:pPr>
            <w:r>
              <w:rPr>
                <w:rFonts w:ascii="Times New Roman" w:hAnsi="Times New Roman" w:cs="Times New Roman"/>
                <w:b/>
                <w:szCs w:val="21"/>
              </w:rPr>
              <w:t>各评分因素细分项</w:t>
            </w:r>
          </w:p>
        </w:tc>
        <w:tc>
          <w:tcPr>
            <w:tcW w:w="756" w:type="dxa"/>
            <w:vAlign w:val="center"/>
          </w:tcPr>
          <w:p>
            <w:pPr>
              <w:spacing w:line="380" w:lineRule="atLeast"/>
              <w:jc w:val="right"/>
              <w:rPr>
                <w:rFonts w:ascii="Times New Roman" w:hAnsi="Times New Roman" w:cs="Times New Roman"/>
                <w:b/>
                <w:szCs w:val="21"/>
              </w:rPr>
            </w:pPr>
            <w:r>
              <w:rPr>
                <w:rFonts w:ascii="Times New Roman" w:hAnsi="Times New Roman" w:cs="Times New Roman"/>
                <w:b/>
                <w:szCs w:val="21"/>
              </w:rPr>
              <w:t>分值</w:t>
            </w:r>
          </w:p>
        </w:tc>
        <w:tc>
          <w:tcPr>
            <w:tcW w:w="1771" w:type="dxa"/>
            <w:vMerge w:val="continue"/>
          </w:tcPr>
          <w:p>
            <w:pPr>
              <w:spacing w:line="380" w:lineRule="atLeast"/>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（1）</w:t>
            </w:r>
          </w:p>
        </w:tc>
        <w:tc>
          <w:tcPr>
            <w:tcW w:w="1635"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rPr>
              <w:t>业绩</w:t>
            </w:r>
          </w:p>
        </w:tc>
        <w:tc>
          <w:tcPr>
            <w:tcW w:w="1005" w:type="dxa"/>
            <w:vAlign w:val="center"/>
          </w:tcPr>
          <w:p>
            <w:pPr>
              <w:spacing w:line="380" w:lineRule="atLeast"/>
              <w:jc w:val="right"/>
              <w:rPr>
                <w:rFonts w:ascii="Times New Roman" w:hAnsi="Times New Roman" w:cs="Times New Roman"/>
                <w:szCs w:val="21"/>
                <w:u w:val="single"/>
              </w:rPr>
            </w:pPr>
            <w:r>
              <w:rPr>
                <w:rFonts w:hint="eastAsia" w:ascii="Times New Roman" w:hAnsi="Times New Roman" w:cs="Times New Roman"/>
                <w:szCs w:val="21"/>
                <w:u w:val="single"/>
              </w:rPr>
              <w:t>15</w:t>
            </w:r>
            <w:r>
              <w:rPr>
                <w:rFonts w:ascii="Times New Roman" w:hAnsi="Times New Roman" w:cs="Times New Roman"/>
                <w:szCs w:val="21"/>
              </w:rPr>
              <w:t>分</w:t>
            </w:r>
          </w:p>
        </w:tc>
        <w:tc>
          <w:tcPr>
            <w:tcW w:w="5404" w:type="dxa"/>
            <w:gridSpan w:val="3"/>
          </w:tcPr>
          <w:p>
            <w:pPr>
              <w:spacing w:line="400" w:lineRule="exact"/>
              <w:ind w:right="-11" w:firstLine="420" w:firstLineChars="200"/>
              <w:rPr>
                <w:rFonts w:ascii="Times New Roman" w:hAnsi="Times New Roman" w:cs="Times New Roman"/>
                <w:szCs w:val="21"/>
              </w:rPr>
            </w:pPr>
            <w:r>
              <w:rPr>
                <w:rFonts w:hint="eastAsia" w:ascii="Times New Roman" w:hAnsi="Times New Roman" w:cs="Times New Roman"/>
                <w:szCs w:val="21"/>
                <w:highlight w:val="yellow"/>
              </w:rPr>
              <w:t>2016年1月1日至响应文件递交截止日期（以合同签订时间为准），供应商主持完成过3个（含）以上大型企业风险或内控体系建设项目，满足要求的得基本分9分，在此基础上每增加一</w:t>
            </w:r>
            <w:r>
              <w:rPr>
                <w:rFonts w:hint="eastAsia" w:ascii="Times New Roman" w:hAnsi="Times New Roman" w:cs="Times New Roman"/>
                <w:szCs w:val="21"/>
                <w:highlight w:val="red"/>
              </w:rPr>
              <w:t>个大型</w:t>
            </w:r>
            <w:r>
              <w:rPr>
                <w:rFonts w:hint="eastAsia" w:ascii="Times New Roman" w:hAnsi="Times New Roman" w:cs="Times New Roman"/>
                <w:szCs w:val="21"/>
                <w:highlight w:val="yellow"/>
              </w:rPr>
              <w:t>企业风险或内控体系建设项目加2分，最多加6分。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（2）</w:t>
            </w:r>
          </w:p>
        </w:tc>
        <w:tc>
          <w:tcPr>
            <w:tcW w:w="1635"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rPr>
              <w:t>人员</w:t>
            </w:r>
          </w:p>
        </w:tc>
        <w:tc>
          <w:tcPr>
            <w:tcW w:w="1005" w:type="dxa"/>
            <w:vAlign w:val="center"/>
          </w:tcPr>
          <w:p>
            <w:pPr>
              <w:spacing w:line="380" w:lineRule="atLeast"/>
              <w:jc w:val="right"/>
              <w:rPr>
                <w:rFonts w:ascii="Times New Roman" w:hAnsi="Times New Roman" w:cs="Times New Roman"/>
                <w:szCs w:val="21"/>
                <w:u w:val="single"/>
              </w:rPr>
            </w:pPr>
            <w:r>
              <w:rPr>
                <w:rFonts w:hint="eastAsia" w:ascii="Times New Roman" w:hAnsi="Times New Roman" w:cs="Times New Roman"/>
                <w:szCs w:val="21"/>
                <w:u w:val="single"/>
              </w:rPr>
              <w:t>25</w:t>
            </w:r>
            <w:r>
              <w:rPr>
                <w:rFonts w:ascii="Times New Roman" w:hAnsi="Times New Roman" w:cs="Times New Roman"/>
                <w:szCs w:val="21"/>
              </w:rPr>
              <w:t>分</w:t>
            </w:r>
          </w:p>
        </w:tc>
        <w:tc>
          <w:tcPr>
            <w:tcW w:w="5404" w:type="dxa"/>
            <w:gridSpan w:val="3"/>
          </w:tcPr>
          <w:p>
            <w:pPr>
              <w:spacing w:line="400" w:lineRule="exact"/>
              <w:rPr>
                <w:rFonts w:ascii="Times New Roman" w:hAnsi="Times New Roman" w:cs="Times New Roman"/>
                <w:szCs w:val="21"/>
              </w:rPr>
            </w:pPr>
            <w:r>
              <w:rPr>
                <w:rFonts w:hint="eastAsia" w:ascii="Times New Roman" w:hAnsi="Times New Roman" w:cs="Times New Roman"/>
                <w:szCs w:val="21"/>
              </w:rPr>
              <w:t>1.项目负责人及项目成员的资质及业绩</w:t>
            </w:r>
          </w:p>
          <w:p>
            <w:pPr>
              <w:spacing w:line="400" w:lineRule="exact"/>
              <w:rPr>
                <w:rFonts w:ascii="Times New Roman" w:hAnsi="Times New Roman" w:cs="Times New Roman"/>
                <w:szCs w:val="21"/>
              </w:rPr>
            </w:pPr>
            <w:r>
              <w:rPr>
                <w:rFonts w:hint="eastAsia" w:ascii="Times New Roman" w:hAnsi="Times New Roman" w:cs="Times New Roman"/>
                <w:szCs w:val="21"/>
              </w:rPr>
              <w:t>项目负责人具有CPA/CIA/CISA/CMA/CMC资质之一，且2016年1月1日至响应文件递交截止日期（以合同签订时间为准）主持完成过3个风险或内控体系建设项目，满足要求的得基本分9分；</w:t>
            </w:r>
          </w:p>
          <w:p>
            <w:pPr>
              <w:spacing w:line="400" w:lineRule="exact"/>
              <w:rPr>
                <w:rFonts w:ascii="Times New Roman" w:hAnsi="Times New Roman" w:cs="Times New Roman"/>
                <w:szCs w:val="21"/>
              </w:rPr>
            </w:pPr>
            <w:r>
              <w:rPr>
                <w:rFonts w:hint="eastAsia" w:ascii="Times New Roman" w:hAnsi="Times New Roman" w:cs="Times New Roman"/>
                <w:szCs w:val="21"/>
              </w:rPr>
              <w:t>项目成员（不含项目负责人）具有CPA/CIA/CISA/CMA/CMC证书之一的，每人加2分，最多加6分（同一人持有多个证书的不重复加分，均按一个证书加分）。</w:t>
            </w:r>
          </w:p>
          <w:p>
            <w:pPr>
              <w:spacing w:line="400" w:lineRule="exact"/>
              <w:rPr>
                <w:rFonts w:ascii="Times New Roman" w:hAnsi="Times New Roman" w:cs="Times New Roman"/>
                <w:szCs w:val="21"/>
              </w:rPr>
            </w:pPr>
            <w:r>
              <w:rPr>
                <w:rFonts w:hint="eastAsia" w:ascii="Times New Roman" w:hAnsi="Times New Roman" w:cs="Times New Roman"/>
                <w:szCs w:val="21"/>
              </w:rPr>
              <w:t>2.团队配置</w:t>
            </w:r>
          </w:p>
          <w:p>
            <w:pPr>
              <w:widowControl/>
              <w:spacing w:line="400" w:lineRule="exact"/>
              <w:rPr>
                <w:rFonts w:ascii="Times New Roman" w:hAnsi="Times New Roman" w:cs="Times New Roman"/>
                <w:szCs w:val="21"/>
              </w:rPr>
            </w:pPr>
            <w:r>
              <w:rPr>
                <w:rFonts w:hint="eastAsia" w:ascii="Times New Roman" w:hAnsi="Times New Roman" w:cs="Times New Roman"/>
                <w:szCs w:val="21"/>
              </w:rPr>
              <w:t>项目团队其他成员（不含项目负责人）不得少于3人，应具备风险或内控体系建设项目经验（提供相应证明材料），满足要求的得基本分6分，具有类似内控项目经验（提供相应证明材料），每多1人加2分，最多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（3）</w:t>
            </w:r>
          </w:p>
        </w:tc>
        <w:tc>
          <w:tcPr>
            <w:tcW w:w="1635"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rPr>
              <w:t>服务方案</w:t>
            </w:r>
          </w:p>
        </w:tc>
        <w:tc>
          <w:tcPr>
            <w:tcW w:w="1005" w:type="dxa"/>
            <w:vAlign w:val="center"/>
          </w:tcPr>
          <w:p>
            <w:pPr>
              <w:spacing w:line="380" w:lineRule="atLeast"/>
              <w:jc w:val="right"/>
              <w:rPr>
                <w:rFonts w:ascii="Times New Roman" w:hAnsi="Times New Roman" w:cs="Times New Roman"/>
                <w:szCs w:val="21"/>
                <w:u w:val="single"/>
              </w:rPr>
            </w:pPr>
            <w:r>
              <w:rPr>
                <w:rFonts w:hint="eastAsia" w:ascii="Times New Roman" w:hAnsi="Times New Roman" w:cs="Times New Roman"/>
                <w:szCs w:val="21"/>
                <w:u w:val="single"/>
              </w:rPr>
              <w:t>40</w:t>
            </w:r>
            <w:r>
              <w:rPr>
                <w:rFonts w:ascii="Times New Roman" w:hAnsi="Times New Roman" w:cs="Times New Roman"/>
                <w:szCs w:val="21"/>
              </w:rPr>
              <w:t>分</w:t>
            </w:r>
          </w:p>
        </w:tc>
        <w:tc>
          <w:tcPr>
            <w:tcW w:w="5404" w:type="dxa"/>
            <w:gridSpan w:val="3"/>
          </w:tcPr>
          <w:p>
            <w:pPr>
              <w:spacing w:line="400" w:lineRule="exact"/>
              <w:rPr>
                <w:rFonts w:ascii="Times New Roman" w:hAnsi="Times New Roman" w:cs="Times New Roman"/>
                <w:szCs w:val="21"/>
              </w:rPr>
            </w:pPr>
            <w:r>
              <w:rPr>
                <w:rFonts w:hint="eastAsia" w:ascii="Times New Roman" w:hAnsi="Times New Roman" w:cs="Times New Roman"/>
                <w:szCs w:val="21"/>
              </w:rPr>
              <w:t>根据供应商提供的项目方案与</w:t>
            </w:r>
            <w:r>
              <w:rPr>
                <w:rFonts w:hint="eastAsia" w:ascii="Times New Roman" w:hAnsi="Times New Roman" w:cs="Times New Roman"/>
                <w:szCs w:val="21"/>
                <w:lang w:eastAsia="zh-CN"/>
              </w:rPr>
              <w:t>经工集团</w:t>
            </w:r>
            <w:r>
              <w:rPr>
                <w:rFonts w:hint="eastAsia" w:ascii="Times New Roman" w:hAnsi="Times New Roman" w:cs="Times New Roman"/>
                <w:szCs w:val="21"/>
              </w:rPr>
              <w:t>内控体系建设目标和需求吻合度情况进行综合评审，主要包括对项目理解是否准确、到位；对关键业务流程及控制点的识别是否到位、对工作重点分析是否到位、是否全面、合理、科学、适应及可操作；进度安排是否科学合理；工作成果是否符合项目目的；是否能够有效控制项目质量，项目整体是否具有系统性、合理性、科学性，并具有很强的可操作性，评审分为三个档次：</w:t>
            </w:r>
          </w:p>
          <w:p>
            <w:pPr>
              <w:spacing w:line="400" w:lineRule="exact"/>
              <w:rPr>
                <w:rFonts w:ascii="Times New Roman" w:hAnsi="Times New Roman" w:cs="Times New Roman"/>
                <w:szCs w:val="21"/>
              </w:rPr>
            </w:pPr>
            <w:r>
              <w:rPr>
                <w:rFonts w:hint="eastAsia" w:ascii="Times New Roman" w:hAnsi="Times New Roman" w:cs="Times New Roman"/>
                <w:szCs w:val="21"/>
              </w:rPr>
              <w:t>优秀档次得分32.1-40分；</w:t>
            </w:r>
          </w:p>
          <w:p>
            <w:pPr>
              <w:spacing w:line="400" w:lineRule="exact"/>
              <w:rPr>
                <w:rFonts w:ascii="Times New Roman" w:hAnsi="Times New Roman" w:cs="Times New Roman"/>
                <w:szCs w:val="21"/>
              </w:rPr>
            </w:pPr>
            <w:r>
              <w:rPr>
                <w:rFonts w:hint="eastAsia" w:ascii="Times New Roman" w:hAnsi="Times New Roman" w:cs="Times New Roman"/>
                <w:szCs w:val="21"/>
              </w:rPr>
              <w:t>良好档次得分24.1-32分；</w:t>
            </w:r>
          </w:p>
          <w:p>
            <w:pPr>
              <w:spacing w:line="400" w:lineRule="exact"/>
              <w:rPr>
                <w:rFonts w:ascii="Times New Roman" w:hAnsi="Times New Roman" w:cs="Times New Roman"/>
                <w:szCs w:val="21"/>
              </w:rPr>
            </w:pPr>
            <w:r>
              <w:rPr>
                <w:rFonts w:hint="eastAsia" w:ascii="Times New Roman" w:hAnsi="Times New Roman" w:cs="Times New Roman"/>
                <w:szCs w:val="21"/>
              </w:rPr>
              <w:t>一般档次得分24分。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（4）</w:t>
            </w:r>
          </w:p>
        </w:tc>
        <w:tc>
          <w:tcPr>
            <w:tcW w:w="1635" w:type="dxa"/>
            <w:vAlign w:val="center"/>
          </w:tcPr>
          <w:p>
            <w:pPr>
              <w:spacing w:line="380" w:lineRule="atLeast"/>
              <w:rPr>
                <w:rFonts w:ascii="Times New Roman" w:hAnsi="Times New Roman" w:cs="Times New Roman"/>
                <w:szCs w:val="21"/>
              </w:rPr>
            </w:pPr>
            <w:r>
              <w:rPr>
                <w:rFonts w:ascii="Times New Roman" w:hAnsi="Times New Roman" w:cs="Times New Roman"/>
                <w:szCs w:val="21"/>
              </w:rPr>
              <w:t>评审价</w:t>
            </w:r>
          </w:p>
        </w:tc>
        <w:tc>
          <w:tcPr>
            <w:tcW w:w="1005" w:type="dxa"/>
            <w:vAlign w:val="center"/>
          </w:tcPr>
          <w:p>
            <w:pPr>
              <w:spacing w:line="380" w:lineRule="atLeast"/>
              <w:jc w:val="right"/>
              <w:rPr>
                <w:rFonts w:ascii="Times New Roman" w:hAnsi="Times New Roman" w:cs="Times New Roman"/>
                <w:szCs w:val="21"/>
              </w:rPr>
            </w:pPr>
            <w:r>
              <w:rPr>
                <w:rFonts w:hint="eastAsia" w:ascii="Times New Roman" w:hAnsi="Times New Roman" w:cs="Times New Roman"/>
                <w:szCs w:val="21"/>
                <w:u w:val="single"/>
              </w:rPr>
              <w:t>20</w:t>
            </w:r>
            <w:r>
              <w:rPr>
                <w:rFonts w:ascii="Times New Roman" w:hAnsi="Times New Roman" w:cs="Times New Roman"/>
                <w:szCs w:val="21"/>
              </w:rPr>
              <w:t>分</w:t>
            </w:r>
          </w:p>
        </w:tc>
        <w:tc>
          <w:tcPr>
            <w:tcW w:w="5404" w:type="dxa"/>
            <w:gridSpan w:val="3"/>
          </w:tcPr>
          <w:p>
            <w:pPr>
              <w:spacing w:line="380" w:lineRule="atLeast"/>
              <w:rPr>
                <w:rFonts w:ascii="Times New Roman" w:hAnsi="Times New Roman" w:cs="Times New Roman"/>
                <w:szCs w:val="21"/>
              </w:rPr>
            </w:pPr>
            <w:r>
              <w:rPr>
                <w:rFonts w:ascii="Times New Roman" w:hAnsi="Times New Roman" w:cs="Times New Roman"/>
                <w:szCs w:val="21"/>
              </w:rPr>
              <w:t>评审价得分计算公式示例：</w:t>
            </w:r>
          </w:p>
          <w:p>
            <w:pPr>
              <w:spacing w:line="400" w:lineRule="exact"/>
              <w:rPr>
                <w:rFonts w:ascii="Times New Roman" w:hAnsi="Times New Roman" w:cs="Times New Roman"/>
                <w:szCs w:val="21"/>
              </w:rPr>
            </w:pPr>
            <w:r>
              <w:rPr>
                <w:rFonts w:ascii="Times New Roman" w:hAnsi="Times New Roman" w:cs="Times New Roman"/>
                <w:szCs w:val="21"/>
              </w:rPr>
              <w:t>（1）如果供应商的评审价&gt;评审基准价，则评审价得分＝F－偏差率×100× E</w:t>
            </w:r>
            <w:r>
              <w:rPr>
                <w:rFonts w:ascii="Times New Roman" w:hAnsi="Times New Roman" w:cs="Times New Roman"/>
                <w:szCs w:val="21"/>
                <w:vertAlign w:val="subscript"/>
              </w:rPr>
              <w:t>1</w:t>
            </w:r>
            <w:r>
              <w:rPr>
                <w:rFonts w:ascii="Times New Roman" w:hAnsi="Times New Roman" w:cs="Times New Roman"/>
                <w:szCs w:val="21"/>
              </w:rPr>
              <w:t>；</w:t>
            </w:r>
          </w:p>
          <w:p>
            <w:pPr>
              <w:spacing w:line="400" w:lineRule="exact"/>
              <w:rPr>
                <w:rFonts w:ascii="Times New Roman" w:hAnsi="Times New Roman" w:cs="Times New Roman"/>
                <w:szCs w:val="21"/>
              </w:rPr>
            </w:pPr>
            <w:r>
              <w:rPr>
                <w:rFonts w:ascii="Times New Roman" w:hAnsi="Times New Roman" w:cs="Times New Roman"/>
                <w:szCs w:val="21"/>
              </w:rPr>
              <w:t>（2）如果供应商的评审价≤评审基准价，则评审价得分＝F＋偏差率× 100× E</w:t>
            </w:r>
            <w:r>
              <w:rPr>
                <w:rFonts w:ascii="Times New Roman" w:hAnsi="Times New Roman" w:cs="Times New Roman"/>
                <w:szCs w:val="21"/>
                <w:vertAlign w:val="subscript"/>
              </w:rPr>
              <w:t>2</w:t>
            </w:r>
            <w:r>
              <w:rPr>
                <w:rFonts w:ascii="Times New Roman" w:hAnsi="Times New Roman" w:cs="Times New Roman"/>
                <w:szCs w:val="21"/>
              </w:rPr>
              <w:t>。</w:t>
            </w:r>
          </w:p>
          <w:p>
            <w:pPr>
              <w:spacing w:line="400" w:lineRule="exact"/>
              <w:rPr>
                <w:rFonts w:ascii="Times New Roman" w:hAnsi="Times New Roman" w:cs="Times New Roman"/>
                <w:szCs w:val="21"/>
              </w:rPr>
            </w:pPr>
            <w:r>
              <w:rPr>
                <w:rFonts w:ascii="Times New Roman" w:hAnsi="Times New Roman" w:cs="Times New Roman"/>
                <w:szCs w:val="21"/>
              </w:rPr>
              <w:t>其中：</w:t>
            </w:r>
            <w:r>
              <w:rPr>
                <w:rFonts w:hint="eastAsia" w:ascii="Times New Roman" w:hAnsi="Times New Roman" w:cs="Times New Roman"/>
                <w:szCs w:val="21"/>
              </w:rPr>
              <w:t>F=20,E1=0.5,E2=0.25。</w:t>
            </w:r>
          </w:p>
          <w:p>
            <w:pPr>
              <w:spacing w:line="400" w:lineRule="exact"/>
              <w:rPr>
                <w:rFonts w:ascii="Times New Roman" w:hAnsi="Times New Roman" w:cs="Times New Roman"/>
                <w:szCs w:val="21"/>
              </w:rPr>
            </w:pPr>
            <w:r>
              <w:rPr>
                <w:rFonts w:hint="eastAsia" w:ascii="Times New Roman" w:hAnsi="Times New Roman" w:cs="Times New Roman"/>
                <w:szCs w:val="21"/>
              </w:rPr>
              <w:t>评审价最高分为20分，最低为0分。</w:t>
            </w:r>
          </w:p>
        </w:tc>
      </w:tr>
    </w:tbl>
    <w:p>
      <w:pPr>
        <w:widowControl/>
        <w:jc w:val="left"/>
        <w:rPr>
          <w:rFonts w:ascii="Times New Roman" w:hAnsi="Times New Roman" w:cs="Times New Roman"/>
          <w:szCs w:val="21"/>
        </w:rPr>
      </w:pP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本次评审采用综合评分法。</w:t>
      </w:r>
      <w:r>
        <w:rPr>
          <w:rFonts w:hint="eastAsia" w:ascii="Times New Roman" w:hAnsi="Times New Roman" w:cs="Times New Roman"/>
        </w:rPr>
        <w:t>评审小组</w:t>
      </w:r>
      <w:r>
        <w:rPr>
          <w:rFonts w:ascii="Times New Roman" w:hAnsi="Times New Roman" w:cs="Times New Roman"/>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cs="Times New Roman"/>
        </w:rPr>
      </w:pPr>
      <w:r>
        <w:rPr>
          <w:rFonts w:ascii="Times New Roman" w:hAnsi="Times New Roman" w:cs="Times New Roman"/>
        </w:rPr>
        <w:t>2.2.1分值构成：</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业绩</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（2）项目管理机构：见评审办法前附表；</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服务方案</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评审价</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2.2.2 评审基准价计算</w:t>
      </w:r>
    </w:p>
    <w:p>
      <w:pPr>
        <w:spacing w:line="440" w:lineRule="exact"/>
        <w:ind w:firstLine="420"/>
        <w:rPr>
          <w:rFonts w:ascii="Times New Roman" w:hAnsi="Times New Roman" w:cs="Times New Roman"/>
        </w:rPr>
      </w:pPr>
      <w:r>
        <w:rPr>
          <w:rFonts w:ascii="Times New Roman" w:hAnsi="Times New Roman" w:cs="Times New Roman"/>
        </w:rPr>
        <w:t>评审基准价计算方法：见评审办法前附表。</w:t>
      </w:r>
    </w:p>
    <w:p>
      <w:pPr>
        <w:spacing w:line="440" w:lineRule="exact"/>
        <w:ind w:firstLine="420"/>
        <w:rPr>
          <w:rFonts w:ascii="Times New Roman" w:hAnsi="Times New Roman" w:cs="Times New Roman"/>
        </w:rPr>
      </w:pPr>
      <w:r>
        <w:rPr>
          <w:rFonts w:ascii="Times New Roman" w:hAnsi="Times New Roman" w:cs="Times New Roman"/>
        </w:rPr>
        <w:t>2.2.3 评审价的偏差率计算</w:t>
      </w:r>
    </w:p>
    <w:p>
      <w:pPr>
        <w:spacing w:line="440" w:lineRule="exact"/>
        <w:ind w:firstLine="420"/>
        <w:rPr>
          <w:rFonts w:ascii="Times New Roman" w:hAnsi="Times New Roman" w:cs="Times New Roman"/>
        </w:rPr>
      </w:pPr>
      <w:r>
        <w:rPr>
          <w:rFonts w:ascii="Times New Roman" w:hAnsi="Times New Roman" w:cs="Times New Roman"/>
        </w:rPr>
        <w:t>评审价的偏差率计算公式：见评审办法前附表。</w:t>
      </w:r>
    </w:p>
    <w:p>
      <w:pPr>
        <w:spacing w:line="440" w:lineRule="exact"/>
        <w:ind w:firstLine="420"/>
        <w:rPr>
          <w:rFonts w:ascii="Times New Roman" w:hAnsi="Times New Roman" w:cs="Times New Roman"/>
        </w:rPr>
      </w:pPr>
      <w:r>
        <w:rPr>
          <w:rFonts w:ascii="Times New Roman" w:hAnsi="Times New Roman" w:cs="Times New Roman"/>
        </w:rPr>
        <w:t>2.2.4评分标准：</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业绩</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（2）项目管理机构评分标准：见评审办法前附表；</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服务方案</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评审价</w:t>
      </w:r>
      <w:r>
        <w:rPr>
          <w:rFonts w:ascii="Times New Roman" w:hAnsi="Times New Roman"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w:t>
      </w:r>
      <w:r>
        <w:rPr>
          <w:rFonts w:hint="eastAsia" w:ascii="Times New Roman" w:hAnsi="Times New Roman" w:cs="Times New Roman"/>
        </w:rPr>
        <w:t>服务期</w:t>
      </w:r>
      <w:r>
        <w:rPr>
          <w:rFonts w:ascii="Times New Roman" w:hAnsi="Times New Roman" w:cs="Times New Roman"/>
        </w:rPr>
        <w:t>、质量标准、安全目标前后不一致时，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keepNext/>
        <w:keepLines/>
        <w:spacing w:before="120" w:after="12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cs="Times New Roman"/>
        </w:rPr>
      </w:pPr>
      <w:r>
        <w:rPr>
          <w:rFonts w:ascii="Times New Roman" w:hAnsi="Times New Roman" w:cs="Times New Roman"/>
        </w:rPr>
        <w:t xml:space="preserve">3.2.1 </w:t>
      </w:r>
      <w:r>
        <w:rPr>
          <w:rFonts w:hint="eastAsia" w:ascii="Times New Roman" w:hAnsi="Times New Roman" w:cs="Times New Roman"/>
        </w:rPr>
        <w:t>评审小组</w:t>
      </w:r>
      <w:r>
        <w:rPr>
          <w:rFonts w:ascii="Times New Roman" w:hAnsi="Times New Roman" w:cs="Times New Roman"/>
        </w:rPr>
        <w:t>按本章第2.2款规定的量化因素和分值进行打分，并计算出综合评估得分。</w:t>
      </w:r>
    </w:p>
    <w:p>
      <w:pPr>
        <w:spacing w:line="440" w:lineRule="exact"/>
        <w:ind w:firstLine="420"/>
        <w:rPr>
          <w:rFonts w:ascii="Times New Roman" w:hAnsi="Times New Roman" w:cs="Times New Roman"/>
        </w:rPr>
      </w:pPr>
      <w:r>
        <w:rPr>
          <w:rFonts w:ascii="Times New Roman" w:hAnsi="Times New Roman" w:cs="Times New Roman"/>
        </w:rPr>
        <w:t>（1）按本章第2.2.4(1)目规定的评审因素和分值对</w:t>
      </w:r>
      <w:r>
        <w:rPr>
          <w:rFonts w:hint="eastAsia" w:ascii="Times New Roman" w:hAnsi="Times New Roman" w:cs="Times New Roman"/>
        </w:rPr>
        <w:t>业绩</w:t>
      </w:r>
      <w:r>
        <w:rPr>
          <w:rFonts w:ascii="Times New Roman" w:hAnsi="Times New Roman" w:cs="Times New Roman"/>
        </w:rPr>
        <w:t>计算出得分</w:t>
      </w:r>
      <w:r>
        <w:rPr>
          <w:rFonts w:hint="eastAsia" w:ascii="Times New Roman" w:hAnsi="Times New Roman" w:cs="Times New Roman"/>
        </w:rPr>
        <w:t>I</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（2）按本章第2.2.4(2)目规定的评审因素和分值对</w:t>
      </w:r>
      <w:r>
        <w:rPr>
          <w:rFonts w:hint="eastAsia" w:ascii="Times New Roman" w:hAnsi="Times New Roman" w:cs="Times New Roman"/>
        </w:rPr>
        <w:t>项目管理机构</w:t>
      </w:r>
      <w:r>
        <w:rPr>
          <w:rFonts w:ascii="Times New Roman" w:hAnsi="Times New Roman" w:cs="Times New Roman"/>
        </w:rPr>
        <w:t>计算出得分</w:t>
      </w:r>
      <w:r>
        <w:rPr>
          <w:rFonts w:hint="eastAsia" w:ascii="Times New Roman" w:hAnsi="Times New Roman" w:cs="Times New Roman"/>
        </w:rPr>
        <w:t>II</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（3）按本章第2.2.4(3)目规定的评审因素和分值对</w:t>
      </w:r>
      <w:r>
        <w:rPr>
          <w:rFonts w:hint="eastAsia" w:ascii="Times New Roman" w:hAnsi="Times New Roman" w:cs="Times New Roman"/>
        </w:rPr>
        <w:t>服务方案</w:t>
      </w:r>
      <w:r>
        <w:rPr>
          <w:rFonts w:ascii="Times New Roman" w:hAnsi="Times New Roman" w:cs="Times New Roman"/>
        </w:rPr>
        <w:t>计算出得分</w:t>
      </w:r>
      <w:r>
        <w:rPr>
          <w:rFonts w:hint="eastAsia" w:ascii="Times New Roman" w:hAnsi="Times New Roman" w:cs="Times New Roman"/>
        </w:rPr>
        <w:t>III</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（4）按本章第2.2.4(4)目规定的评审因素和分值对</w:t>
      </w:r>
      <w:r>
        <w:rPr>
          <w:rFonts w:hint="eastAsia" w:ascii="Times New Roman" w:hAnsi="Times New Roman" w:cs="Times New Roman"/>
        </w:rPr>
        <w:t>评审价</w:t>
      </w:r>
      <w:r>
        <w:rPr>
          <w:rFonts w:ascii="Times New Roman" w:hAnsi="Times New Roman" w:cs="Times New Roman"/>
        </w:rPr>
        <w:t>计算出得分</w:t>
      </w:r>
      <w:r>
        <w:rPr>
          <w:rFonts w:hint="eastAsia" w:ascii="Times New Roman" w:hAnsi="Times New Roman" w:cs="Times New Roman"/>
        </w:rPr>
        <w:t>IV</w:t>
      </w:r>
      <w:r>
        <w:rPr>
          <w:rFonts w:ascii="Times New Roman" w:hAnsi="Times New Roman" w:cs="Times New Roman"/>
        </w:rPr>
        <w:t>。</w:t>
      </w:r>
    </w:p>
    <w:p>
      <w:pPr>
        <w:spacing w:line="400" w:lineRule="exact"/>
        <w:ind w:firstLine="420" w:firstLineChars="200"/>
        <w:rPr>
          <w:rFonts w:ascii="Times New Roman" w:hAnsi="Times New Roman" w:cs="Times New Roman"/>
        </w:rPr>
      </w:pPr>
      <w:r>
        <w:rPr>
          <w:rFonts w:ascii="Times New Roman" w:hAnsi="Times New Roman" w:cs="Times New Roman"/>
        </w:rPr>
        <w:t>3.2.2 评分分值计算保留小数点后两位，小数点后第三位“四舍五入”。</w:t>
      </w:r>
    </w:p>
    <w:p>
      <w:pPr>
        <w:spacing w:line="400" w:lineRule="exact"/>
        <w:ind w:firstLine="420" w:firstLineChars="200"/>
        <w:rPr>
          <w:rFonts w:ascii="Times New Roman" w:hAnsi="Times New Roman" w:cs="Times New Roman"/>
        </w:rPr>
      </w:pPr>
      <w:r>
        <w:rPr>
          <w:rFonts w:ascii="Times New Roman" w:hAnsi="Times New Roman" w:cs="Times New Roman"/>
        </w:rPr>
        <w:t xml:space="preserve">3.2.3 </w:t>
      </w:r>
      <w:r>
        <w:rPr>
          <w:rFonts w:hint="eastAsia" w:ascii="Times New Roman" w:hAnsi="Times New Roman" w:cs="Times New Roman"/>
        </w:rPr>
        <w:t>评审小组成员对</w:t>
      </w:r>
      <w:r>
        <w:rPr>
          <w:rFonts w:ascii="Times New Roman" w:hAnsi="Times New Roman" w:cs="Times New Roman"/>
        </w:rPr>
        <w:t>供应商</w:t>
      </w:r>
      <w:r>
        <w:rPr>
          <w:rFonts w:hint="eastAsia" w:ascii="Times New Roman" w:hAnsi="Times New Roman" w:cs="Times New Roman"/>
        </w:rPr>
        <w:t>综合评分=I</w:t>
      </w:r>
      <w:r>
        <w:rPr>
          <w:rFonts w:ascii="Times New Roman" w:hAnsi="Times New Roman" w:cs="Times New Roman"/>
        </w:rPr>
        <w:t>+</w:t>
      </w:r>
      <w:r>
        <w:rPr>
          <w:rFonts w:hint="eastAsia" w:ascii="Times New Roman" w:hAnsi="Times New Roman" w:cs="Times New Roman"/>
        </w:rPr>
        <w:t>II</w:t>
      </w:r>
      <w:r>
        <w:rPr>
          <w:rFonts w:ascii="Times New Roman" w:hAnsi="Times New Roman" w:cs="Times New Roman"/>
        </w:rPr>
        <w:t>+</w:t>
      </w:r>
      <w:r>
        <w:rPr>
          <w:rFonts w:hint="eastAsia" w:ascii="Times New Roman" w:hAnsi="Times New Roman" w:cs="Times New Roman"/>
        </w:rPr>
        <w:t>III</w:t>
      </w:r>
      <w:r>
        <w:rPr>
          <w:rFonts w:ascii="Times New Roman" w:hAnsi="Times New Roman" w:cs="Times New Roman"/>
        </w:rPr>
        <w:t>+</w:t>
      </w:r>
      <w:r>
        <w:rPr>
          <w:rFonts w:hint="eastAsia" w:ascii="Times New Roman" w:hAnsi="Times New Roman" w:cs="Times New Roman"/>
        </w:rPr>
        <w:t>IV，供应商最终得分为各评审小组成员评分的算数平均值</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应对在评审过程中发现供应商存在串通报价、弄虚作假、行贿等违法行为的，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strike/>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r>
        <w:rPr>
          <w:rFonts w:ascii="Times New Roman" w:hAnsi="Times New Roman" w:cs="Times New Roman"/>
        </w:rPr>
        <w:t>（一）采购项目基本情况</w:t>
      </w:r>
    </w:p>
    <w:p>
      <w:pPr>
        <w:spacing w:line="440" w:lineRule="exact"/>
        <w:ind w:firstLine="420"/>
        <w:rPr>
          <w:rFonts w:ascii="Times New Roman" w:hAnsi="Times New Roman" w:cs="Times New Roman"/>
        </w:rPr>
      </w:pPr>
      <w:r>
        <w:rPr>
          <w:rFonts w:ascii="Times New Roman" w:hAnsi="Times New Roman" w:cs="Times New Roman"/>
        </w:rPr>
        <w:t>（二）采购过程回顾</w:t>
      </w:r>
    </w:p>
    <w:p>
      <w:pPr>
        <w:spacing w:line="440" w:lineRule="exact"/>
        <w:ind w:firstLine="420"/>
        <w:rPr>
          <w:rFonts w:ascii="Times New Roman" w:hAnsi="Times New Roman" w:cs="Times New Roman"/>
        </w:rPr>
      </w:pPr>
      <w:r>
        <w:rPr>
          <w:rFonts w:ascii="Times New Roman" w:hAnsi="Times New Roman" w:cs="Times New Roman"/>
        </w:rPr>
        <w:t>（三）评审小组成员名单</w:t>
      </w:r>
    </w:p>
    <w:p>
      <w:pPr>
        <w:spacing w:line="440" w:lineRule="exact"/>
        <w:ind w:firstLine="420"/>
        <w:rPr>
          <w:rFonts w:ascii="Times New Roman" w:hAnsi="Times New Roman" w:cs="Times New Roman"/>
        </w:rPr>
      </w:pPr>
      <w:r>
        <w:rPr>
          <w:rFonts w:ascii="Times New Roman" w:hAnsi="Times New Roman" w:cs="Times New Roman"/>
        </w:rPr>
        <w:t>（四）询比评审工作</w:t>
      </w:r>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详细评审情况（</w:t>
      </w:r>
      <w:r>
        <w:rPr>
          <w:rFonts w:ascii="Times New Roman" w:hAnsi="Times New Roman" w:cs="Times New Roman"/>
        </w:rPr>
        <w:t>供应商的</w:t>
      </w:r>
      <w:r>
        <w:rPr>
          <w:rFonts w:hint="eastAsia" w:ascii="Times New Roman" w:hAnsi="Times New Roman" w:cs="Times New Roman"/>
        </w:rPr>
        <w:t>综合</w:t>
      </w:r>
      <w:r>
        <w:rPr>
          <w:rFonts w:ascii="Times New Roman" w:hAnsi="Times New Roman" w:cs="Times New Roman"/>
        </w:rPr>
        <w:t>评分情况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r>
        <w:rPr>
          <w:rFonts w:ascii="Times New Roman" w:hAnsi="Times New Roman" w:cs="Times New Roman"/>
        </w:rPr>
        <w:t>（五）需要说明的其他事项</w:t>
      </w:r>
    </w:p>
    <w:p>
      <w:pPr>
        <w:spacing w:line="440" w:lineRule="exact"/>
        <w:ind w:firstLine="420"/>
        <w:rPr>
          <w:rFonts w:ascii="Times New Roman" w:hAnsi="Times New Roman" w:cs="Times New Roman"/>
        </w:rPr>
      </w:pPr>
      <w:r>
        <w:rPr>
          <w:rFonts w:ascii="Times New Roman" w:hAnsi="Times New Roman" w:cs="Times New Roman"/>
        </w:rPr>
        <w:t>（六）评审附表</w:t>
      </w:r>
    </w:p>
    <w:p>
      <w:pPr>
        <w:spacing w:line="440" w:lineRule="exact"/>
        <w:ind w:firstLine="420"/>
        <w:rPr>
          <w:rFonts w:ascii="Times New Roman" w:hAnsi="Times New Roman" w:cs="Times New Roman"/>
        </w:rPr>
      </w:pPr>
      <w:r>
        <w:rPr>
          <w:rFonts w:ascii="Times New Roman" w:hAnsi="Times New Roman" w:cs="Times New Roman"/>
        </w:rPr>
        <w:t>1、响应文件开启记录表</w:t>
      </w:r>
    </w:p>
    <w:p>
      <w:pPr>
        <w:spacing w:line="440" w:lineRule="exact"/>
        <w:ind w:firstLine="420"/>
        <w:rPr>
          <w:rFonts w:ascii="Times New Roman" w:hAnsi="Times New Roman" w:cs="Times New Roman"/>
        </w:rPr>
      </w:pPr>
      <w:r>
        <w:rPr>
          <w:rFonts w:ascii="Times New Roman" w:hAnsi="Times New Roman" w:cs="Times New Roman"/>
        </w:rPr>
        <w:t>2、评审表格</w:t>
      </w:r>
    </w:p>
    <w:p/>
    <w:p>
      <w:pPr>
        <w:rPr>
          <w:rFonts w:ascii="Times New Roman" w:hAnsi="Times New Roman" w:eastAsia="宋体" w:cs="Times New Roman"/>
        </w:rPr>
        <w:sectPr>
          <w:footerReference r:id="rId4" w:type="default"/>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p>
    <w:p>
      <w:pPr>
        <w:pStyle w:val="2"/>
      </w:pPr>
    </w:p>
    <w:p>
      <w:pPr>
        <w:pStyle w:val="3"/>
        <w:numPr>
          <w:ilvl w:val="0"/>
          <w:numId w:val="0"/>
        </w:numPr>
        <w:spacing w:before="312" w:after="312"/>
        <w:ind w:left="402"/>
        <w:rPr>
          <w:rFonts w:ascii="宋体" w:hAnsi="宋体" w:eastAsia="宋体" w:cs="Times New Roman"/>
          <w:szCs w:val="36"/>
        </w:rPr>
      </w:pPr>
      <w:bookmarkStart w:id="46" w:name="_Toc17480_WPSOffice_Level1"/>
      <w:r>
        <w:rPr>
          <w:rFonts w:hint="eastAsia" w:ascii="宋体" w:hAnsi="宋体" w:eastAsia="宋体" w:cs="Times New Roman"/>
          <w:szCs w:val="36"/>
        </w:rPr>
        <w:t xml:space="preserve">第四章 </w:t>
      </w:r>
      <w:r>
        <w:rPr>
          <w:rFonts w:ascii="宋体" w:hAnsi="宋体" w:eastAsia="宋体" w:cs="Times New Roman"/>
          <w:szCs w:val="36"/>
        </w:rPr>
        <w:t>合同内容</w:t>
      </w:r>
      <w:bookmarkEnd w:id="46"/>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spacing w:before="156" w:beforeLines="50" w:line="440" w:lineRule="exact"/>
        <w:jc w:val="center"/>
        <w:rPr>
          <w:rFonts w:ascii="Times New Roman" w:hAnsi="Times New Roman" w:eastAsia="宋体" w:cs="Times New Roman"/>
          <w:b/>
          <w:sz w:val="32"/>
          <w:szCs w:val="32"/>
        </w:rPr>
      </w:pPr>
      <w:bookmarkStart w:id="47" w:name="_Toc14125_WPSOffice_Level1"/>
      <w:r>
        <w:rPr>
          <w:rFonts w:ascii="Times New Roman" w:hAnsi="Times New Roman" w:eastAsia="仿宋_GB2312" w:cs="Times New Roman"/>
          <w:b/>
          <w:sz w:val="28"/>
          <w:szCs w:val="28"/>
        </w:rPr>
        <w:t>通用服务采购合同</w:t>
      </w:r>
      <w:bookmarkEnd w:id="47"/>
    </w:p>
    <w:p>
      <w:pPr>
        <w:adjustRightInd w:val="0"/>
        <w:snapToGrid w:val="0"/>
        <w:spacing w:line="440" w:lineRule="exact"/>
        <w:ind w:firstLine="420" w:firstLineChars="200"/>
        <w:rPr>
          <w:rFonts w:ascii="Times New Roman" w:hAnsi="Times New Roman" w:eastAsia="宋体" w:cs="Times New Roman"/>
          <w:szCs w:val="21"/>
        </w:rPr>
      </w:pPr>
    </w:p>
    <w:p>
      <w:pPr>
        <w:adjustRightInd w:val="0"/>
        <w:snapToGrid w:val="0"/>
        <w:spacing w:line="440" w:lineRule="exact"/>
        <w:ind w:firstLine="367" w:firstLineChars="175"/>
        <w:rPr>
          <w:rFonts w:ascii="Times New Roman" w:hAnsi="Times New Roman" w:eastAsia="宋体" w:cs="Times New Roman"/>
          <w:b/>
          <w:szCs w:val="21"/>
        </w:rPr>
      </w:pPr>
      <w:bookmarkStart w:id="48" w:name="_Toc30852_WPSOffice_Level1"/>
      <w:r>
        <w:rPr>
          <w:rFonts w:ascii="Times New Roman" w:hAnsi="Times New Roman" w:eastAsia="宋体" w:cs="Times New Roman"/>
          <w:b/>
          <w:szCs w:val="21"/>
        </w:rPr>
        <w:t>1.项目信息</w:t>
      </w:r>
      <w:bookmarkEnd w:id="48"/>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1.1 项目名称：</w:t>
      </w:r>
    </w:p>
    <w:p>
      <w:pPr>
        <w:adjustRightInd w:val="0"/>
        <w:snapToGrid w:val="0"/>
        <w:spacing w:line="440" w:lineRule="exact"/>
        <w:ind w:firstLine="367" w:firstLineChars="175"/>
        <w:rPr>
          <w:rFonts w:ascii="Times New Roman" w:hAnsi="Times New Roman" w:eastAsia="宋体" w:cs="Times New Roman"/>
          <w:szCs w:val="21"/>
          <w:u w:val="single"/>
        </w:rPr>
      </w:pPr>
      <w:r>
        <w:rPr>
          <w:rFonts w:ascii="Times New Roman" w:hAnsi="Times New Roman" w:eastAsia="宋体" w:cs="Times New Roman"/>
          <w:szCs w:val="21"/>
        </w:rPr>
        <w:t>1.2 项目内容：</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1.3 服务内容：</w:t>
      </w:r>
    </w:p>
    <w:p>
      <w:pPr>
        <w:adjustRightInd w:val="0"/>
        <w:snapToGrid w:val="0"/>
        <w:spacing w:line="440" w:lineRule="exact"/>
        <w:ind w:firstLine="367" w:firstLineChars="175"/>
        <w:rPr>
          <w:rFonts w:ascii="Times New Roman" w:hAnsi="Times New Roman" w:eastAsia="宋体" w:cs="Times New Roman"/>
          <w:b/>
          <w:szCs w:val="21"/>
        </w:rPr>
      </w:pPr>
      <w:bookmarkStart w:id="49" w:name="_Toc2136_WPSOffice_Level1"/>
      <w:r>
        <w:rPr>
          <w:rFonts w:ascii="Times New Roman" w:hAnsi="Times New Roman" w:eastAsia="宋体" w:cs="Times New Roman"/>
          <w:b/>
          <w:szCs w:val="21"/>
        </w:rPr>
        <w:t>2.合同金额及类别</w:t>
      </w:r>
      <w:bookmarkEnd w:id="49"/>
    </w:p>
    <w:p>
      <w:pPr>
        <w:adjustRightInd w:val="0"/>
        <w:snapToGrid w:val="0"/>
        <w:spacing w:line="440" w:lineRule="exact"/>
        <w:ind w:firstLine="367" w:firstLineChars="175"/>
        <w:rPr>
          <w:rFonts w:ascii="Times New Roman" w:hAnsi="Times New Roman" w:eastAsia="宋体" w:cs="Times New Roman"/>
          <w:szCs w:val="21"/>
          <w:u w:val="single"/>
        </w:rPr>
      </w:pPr>
      <w:r>
        <w:rPr>
          <w:rFonts w:ascii="Times New Roman" w:hAnsi="Times New Roman" w:eastAsia="宋体" w:cs="Times New Roman"/>
          <w:szCs w:val="21"/>
        </w:rPr>
        <w:t>2.1 合同金额：</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2.2 合同类别：（总价/单价）</w:t>
      </w:r>
    </w:p>
    <w:p>
      <w:pPr>
        <w:adjustRightInd w:val="0"/>
        <w:snapToGrid w:val="0"/>
        <w:spacing w:line="440" w:lineRule="exact"/>
        <w:ind w:firstLine="367" w:firstLineChars="175"/>
        <w:rPr>
          <w:rFonts w:ascii="Times New Roman" w:hAnsi="Times New Roman" w:eastAsia="宋体" w:cs="Times New Roman"/>
          <w:szCs w:val="21"/>
          <w:u w:val="single"/>
        </w:rPr>
      </w:pPr>
      <w:bookmarkStart w:id="50" w:name="_Toc4997_WPSOffice_Level1"/>
      <w:r>
        <w:rPr>
          <w:rFonts w:ascii="Times New Roman" w:hAnsi="Times New Roman" w:eastAsia="宋体" w:cs="Times New Roman"/>
          <w:b/>
          <w:szCs w:val="21"/>
        </w:rPr>
        <w:t>3.履行合同的时间、地点及方式</w:t>
      </w:r>
      <w:bookmarkEnd w:id="50"/>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3.1 时间要求：</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3.2 地点：</w:t>
      </w:r>
    </w:p>
    <w:p>
      <w:pPr>
        <w:adjustRightInd w:val="0"/>
        <w:snapToGrid w:val="0"/>
        <w:spacing w:line="440" w:lineRule="exact"/>
        <w:ind w:firstLine="367" w:firstLineChars="175"/>
        <w:rPr>
          <w:rFonts w:ascii="Times New Roman" w:hAnsi="Times New Roman" w:eastAsia="宋体" w:cs="Times New Roman"/>
          <w:b/>
          <w:szCs w:val="21"/>
        </w:rPr>
      </w:pPr>
      <w:bookmarkStart w:id="51" w:name="_Toc24437_WPSOffice_Level1"/>
      <w:r>
        <w:rPr>
          <w:rFonts w:ascii="Times New Roman" w:hAnsi="Times New Roman" w:eastAsia="宋体" w:cs="Times New Roman"/>
          <w:b/>
          <w:szCs w:val="21"/>
        </w:rPr>
        <w:t>4.时间进度要求</w:t>
      </w:r>
      <w:bookmarkEnd w:id="51"/>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w:t>
      </w:r>
    </w:p>
    <w:p>
      <w:pPr>
        <w:adjustRightInd w:val="0"/>
        <w:snapToGrid w:val="0"/>
        <w:spacing w:line="440" w:lineRule="exact"/>
        <w:ind w:firstLine="367" w:firstLineChars="175"/>
        <w:rPr>
          <w:rFonts w:ascii="Times New Roman" w:hAnsi="Times New Roman" w:eastAsia="宋体" w:cs="Times New Roman"/>
          <w:b/>
          <w:szCs w:val="21"/>
        </w:rPr>
      </w:pPr>
      <w:bookmarkStart w:id="52" w:name="_Toc6898_WPSOffice_Level1"/>
      <w:r>
        <w:rPr>
          <w:rFonts w:ascii="Times New Roman" w:hAnsi="Times New Roman" w:eastAsia="宋体" w:cs="Times New Roman"/>
          <w:b/>
          <w:szCs w:val="21"/>
        </w:rPr>
        <w:t>5.付款</w:t>
      </w:r>
      <w:bookmarkEnd w:id="52"/>
    </w:p>
    <w:p>
      <w:pPr>
        <w:adjustRightInd w:val="0"/>
        <w:snapToGrid w:val="0"/>
        <w:spacing w:line="440" w:lineRule="exact"/>
        <w:ind w:firstLine="367" w:firstLineChars="175"/>
        <w:rPr>
          <w:rFonts w:ascii="Times New Roman" w:hAnsi="Times New Roman" w:eastAsia="宋体" w:cs="Times New Roman"/>
          <w:szCs w:val="21"/>
          <w:u w:val="single"/>
        </w:rPr>
      </w:pPr>
      <w:r>
        <w:rPr>
          <w:rFonts w:ascii="Times New Roman" w:hAnsi="Times New Roman" w:eastAsia="宋体" w:cs="Times New Roman"/>
          <w:szCs w:val="21"/>
        </w:rPr>
        <w:t>5.1 付款方式</w:t>
      </w:r>
    </w:p>
    <w:p>
      <w:pPr>
        <w:adjustRightInd w:val="0"/>
        <w:snapToGrid w:val="0"/>
        <w:spacing w:line="440" w:lineRule="exact"/>
        <w:ind w:firstLine="367" w:firstLineChars="175"/>
        <w:rPr>
          <w:rFonts w:ascii="Times New Roman" w:hAnsi="Times New Roman" w:eastAsia="宋体" w:cs="Times New Roman"/>
          <w:sz w:val="18"/>
          <w:szCs w:val="21"/>
        </w:rPr>
      </w:pPr>
      <w:r>
        <w:rPr>
          <w:rFonts w:ascii="Times New Roman" w:hAnsi="Times New Roman" w:eastAsia="宋体" w:cs="Times New Roman"/>
          <w:szCs w:val="21"/>
        </w:rPr>
        <w:t>。</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5.2 乙方应向甲方开具增值税专用发票。</w:t>
      </w:r>
    </w:p>
    <w:p>
      <w:pPr>
        <w:adjustRightInd w:val="0"/>
        <w:snapToGrid w:val="0"/>
        <w:spacing w:line="440" w:lineRule="exact"/>
        <w:ind w:firstLine="367" w:firstLineChars="175"/>
        <w:rPr>
          <w:rFonts w:ascii="Times New Roman" w:hAnsi="Times New Roman" w:eastAsia="宋体" w:cs="Times New Roman"/>
          <w:b/>
          <w:szCs w:val="21"/>
        </w:rPr>
      </w:pPr>
      <w:bookmarkStart w:id="53" w:name="_Toc4994_WPSOffice_Level1"/>
      <w:r>
        <w:rPr>
          <w:rFonts w:ascii="Times New Roman" w:hAnsi="Times New Roman" w:eastAsia="宋体" w:cs="Times New Roman"/>
          <w:b/>
          <w:szCs w:val="21"/>
        </w:rPr>
        <w:t>6.履约担保</w:t>
      </w:r>
      <w:bookmarkEnd w:id="53"/>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6.1 乙方应按询比文件的规定，向甲方提交</w:t>
      </w:r>
      <w:r>
        <w:rPr>
          <w:rFonts w:hint="eastAsia" w:ascii="Times New Roman" w:hAnsi="Times New Roman" w:eastAsia="宋体" w:cs="Times New Roman"/>
          <w:szCs w:val="21"/>
        </w:rPr>
        <w:t>合同总价5%</w:t>
      </w:r>
      <w:r>
        <w:rPr>
          <w:rFonts w:ascii="Times New Roman" w:hAnsi="Times New Roman" w:eastAsia="宋体" w:cs="Times New Roman"/>
          <w:szCs w:val="21"/>
        </w:rPr>
        <w:t>的履约担保。</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6.2 为取得履约担保所需的费用，由乙方自行负责。</w:t>
      </w:r>
    </w:p>
    <w:p>
      <w:pPr>
        <w:adjustRightInd w:val="0"/>
        <w:snapToGrid w:val="0"/>
        <w:spacing w:line="440" w:lineRule="exact"/>
        <w:ind w:firstLine="367" w:firstLineChars="175"/>
        <w:rPr>
          <w:rFonts w:ascii="Times New Roman" w:hAnsi="Times New Roman" w:eastAsia="宋体" w:cs="Times New Roman"/>
          <w:b/>
          <w:szCs w:val="21"/>
        </w:rPr>
      </w:pPr>
      <w:bookmarkStart w:id="54" w:name="_Toc19947_WPSOffice_Level1"/>
      <w:r>
        <w:rPr>
          <w:rFonts w:ascii="Times New Roman" w:hAnsi="Times New Roman" w:eastAsia="宋体" w:cs="Times New Roman"/>
          <w:b/>
          <w:szCs w:val="21"/>
        </w:rPr>
        <w:t>7.验收</w:t>
      </w:r>
      <w:bookmarkEnd w:id="54"/>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7.1 按询比文件内容及要求进行验收。</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7.2 乙方提供的服务或提交的成果资料不符合询比文件要求的，须根据甲方意见进行必要的修改、调整和补充，调整所需的各项费用由乙方自行承担。</w:t>
      </w:r>
    </w:p>
    <w:p>
      <w:pPr>
        <w:adjustRightInd w:val="0"/>
        <w:snapToGrid w:val="0"/>
        <w:spacing w:line="440" w:lineRule="exact"/>
        <w:ind w:firstLine="367" w:firstLineChars="175"/>
        <w:rPr>
          <w:rFonts w:ascii="Times New Roman" w:hAnsi="Times New Roman" w:eastAsia="宋体" w:cs="Times New Roman"/>
          <w:b/>
          <w:szCs w:val="21"/>
        </w:rPr>
      </w:pPr>
      <w:bookmarkStart w:id="55" w:name="_Toc724_WPSOffice_Level1"/>
      <w:r>
        <w:rPr>
          <w:rFonts w:ascii="Times New Roman" w:hAnsi="Times New Roman" w:eastAsia="宋体" w:cs="Times New Roman"/>
          <w:b/>
          <w:szCs w:val="21"/>
        </w:rPr>
        <w:t>8.违约责任</w:t>
      </w:r>
      <w:bookmarkEnd w:id="55"/>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8.1 乙方不履行本合同义务或者履行义务不符合约定的，甲方有权要求乙方承担继续履行、赔偿损失或支付违约金等违约责任。</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8.2 因乙方提供的服务或成果资料质量低劣引起返工或甲方不满的，给甲方造成损失时，乙方应继续完善服务工作及成果资料，并应赔偿甲方所遭受的损失。</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8.3 由于乙方原因造成服务不合格或延误的，乙方除负责采取补救措施外，应免收损失部分对应的合同价款，并应根据损失程度向甲方支付赔偿金。</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8.4 乙方未经甲方批准，擅自转让本项目服务工作的，应当向甲方支付合同价格%的违约金。</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8.5 乙方未按合同约定履行合同义务，经甲方合理催告在限定时间内仍未纠正的，甲方有权书面通知乙方终止合同；合同提前终止的，甲方有权拒绝支付任何费用，且乙方应向甲方支付相当于合同价格%的违约金。</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8.6 乙方按合同约定应支付的违约金低于给甲方造成的损失的，还应就差额部分向甲方进行赔偿。</w:t>
      </w:r>
    </w:p>
    <w:p>
      <w:pPr>
        <w:tabs>
          <w:tab w:val="left" w:pos="3525"/>
        </w:tabs>
        <w:adjustRightInd w:val="0"/>
        <w:snapToGrid w:val="0"/>
        <w:spacing w:line="440" w:lineRule="exact"/>
        <w:ind w:firstLine="367" w:firstLineChars="175"/>
        <w:rPr>
          <w:rFonts w:ascii="Times New Roman" w:hAnsi="Times New Roman" w:eastAsia="宋体" w:cs="Times New Roman"/>
          <w:b/>
          <w:szCs w:val="21"/>
        </w:rPr>
      </w:pPr>
      <w:bookmarkStart w:id="56" w:name="_Toc1629_WPSOffice_Level1"/>
      <w:r>
        <w:rPr>
          <w:rFonts w:ascii="Times New Roman" w:hAnsi="Times New Roman" w:eastAsia="宋体" w:cs="Times New Roman"/>
          <w:b/>
          <w:szCs w:val="21"/>
        </w:rPr>
        <w:t>9、甲方的权利和义务</w:t>
      </w:r>
      <w:bookmarkEnd w:id="56"/>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9.1 按合同约定向乙方支付费用。</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9.2 负责向乙方提供必要的资料及组织协调工作。</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9.3 对乙方的服务质量及时进行监督检查，对存在的问题要求乙方及时整改。</w:t>
      </w:r>
    </w:p>
    <w:p>
      <w:pPr>
        <w:tabs>
          <w:tab w:val="left" w:pos="3525"/>
        </w:tabs>
        <w:adjustRightInd w:val="0"/>
        <w:snapToGrid w:val="0"/>
        <w:spacing w:line="440" w:lineRule="exact"/>
        <w:ind w:firstLine="367" w:firstLineChars="175"/>
        <w:rPr>
          <w:rFonts w:ascii="Times New Roman" w:hAnsi="Times New Roman" w:eastAsia="宋体" w:cs="Times New Roman"/>
          <w:b/>
          <w:szCs w:val="21"/>
        </w:rPr>
      </w:pPr>
      <w:bookmarkStart w:id="57" w:name="_Toc26852_WPSOffice_Level1"/>
      <w:r>
        <w:rPr>
          <w:rFonts w:ascii="Times New Roman" w:hAnsi="Times New Roman" w:eastAsia="宋体" w:cs="Times New Roman"/>
          <w:b/>
          <w:szCs w:val="21"/>
        </w:rPr>
        <w:t>10、乙方的权利和义务</w:t>
      </w:r>
      <w:bookmarkEnd w:id="57"/>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10.1 本着科学、严谨的工作态度，依据双方约定，为甲方提供相关服务，确保成果质量。</w:t>
      </w:r>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10.2 乙方派驻的人员及设备应符合相关文件的要求。</w:t>
      </w:r>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10.3 制定各种应急处置预案，能及时有效处置突发事件，确保服务过程中人员安全。</w:t>
      </w:r>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10.4 询比文件“采购需求及清单”规定的其他内容。</w:t>
      </w:r>
    </w:p>
    <w:p>
      <w:pPr>
        <w:tabs>
          <w:tab w:val="left" w:pos="3525"/>
        </w:tabs>
        <w:adjustRightInd w:val="0"/>
        <w:snapToGrid w:val="0"/>
        <w:spacing w:line="440" w:lineRule="exact"/>
        <w:ind w:firstLine="367" w:firstLineChars="175"/>
        <w:rPr>
          <w:rFonts w:ascii="Times New Roman" w:hAnsi="Times New Roman" w:eastAsia="宋体" w:cs="Times New Roman"/>
          <w:b/>
          <w:szCs w:val="21"/>
        </w:rPr>
      </w:pPr>
      <w:bookmarkStart w:id="58" w:name="_Toc15894_WPSOffice_Level1"/>
      <w:r>
        <w:rPr>
          <w:rFonts w:ascii="Times New Roman" w:hAnsi="Times New Roman" w:eastAsia="宋体" w:cs="Times New Roman"/>
          <w:b/>
          <w:szCs w:val="21"/>
        </w:rPr>
        <w:t>11.保密义务</w:t>
      </w:r>
      <w:bookmarkEnd w:id="58"/>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11.1 乙方及其工作人员应对服务过程及工作文件和在合同履行过程中了解到的涉及甲方商业秘密的资料以及其他尚未公开的有关信息承担保密义务，并采取相应的保密措施。应承担的保密义务包括但不限于：</w:t>
      </w:r>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11.1.1 未经甲方书面同意，不得将上述工作文件、资料及信息披露给任何第三人；</w:t>
      </w:r>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11.1.2 不得将上述工作文件、资料及信息用于本合同以外的其他目的；</w:t>
      </w:r>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11.2 上述保密义务的期限至工作文件及相关资料或信息正式向社会公开之日或采购人书面解除乙方此合同项下保密义务之日止。</w:t>
      </w:r>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11.3 乙方违反保密义务的，应承担一切法律责任并赔偿采购人因此遭受的全部损失。</w:t>
      </w:r>
    </w:p>
    <w:p>
      <w:pPr>
        <w:tabs>
          <w:tab w:val="left" w:pos="3525"/>
        </w:tabs>
        <w:adjustRightInd w:val="0"/>
        <w:snapToGrid w:val="0"/>
        <w:spacing w:line="440" w:lineRule="exact"/>
        <w:ind w:firstLine="367" w:firstLineChars="175"/>
        <w:rPr>
          <w:rFonts w:ascii="Times New Roman" w:hAnsi="Times New Roman" w:eastAsia="宋体" w:cs="Times New Roman"/>
          <w:b/>
          <w:szCs w:val="21"/>
        </w:rPr>
      </w:pPr>
      <w:bookmarkStart w:id="59" w:name="_Toc15263_WPSOffice_Level1"/>
      <w:r>
        <w:rPr>
          <w:rFonts w:ascii="Times New Roman" w:hAnsi="Times New Roman" w:eastAsia="宋体" w:cs="Times New Roman"/>
          <w:b/>
          <w:szCs w:val="21"/>
        </w:rPr>
        <w:t>12、争议的解决</w:t>
      </w:r>
      <w:bookmarkEnd w:id="59"/>
      <w:r>
        <w:rPr>
          <w:rFonts w:ascii="Times New Roman" w:hAnsi="Times New Roman" w:eastAsia="宋体" w:cs="Times New Roman"/>
          <w:b/>
          <w:szCs w:val="21"/>
        </w:rPr>
        <w:tab/>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cs="Times New Roman"/>
        </w:rPr>
        <w:t>本合同发生争议，由当事人双方协商解决。若经过协商仍不能达成一致时，则通过向甲方所在地人民法院诉讼解决纠纷。</w:t>
      </w:r>
    </w:p>
    <w:p>
      <w:pPr>
        <w:pStyle w:val="2"/>
      </w:pPr>
    </w:p>
    <w:p>
      <w:pPr>
        <w:keepNext/>
        <w:keepLines/>
        <w:spacing w:before="120" w:line="440" w:lineRule="exact"/>
        <w:outlineLvl w:val="1"/>
        <w:rPr>
          <w:rFonts w:ascii="Times New Roman" w:hAnsi="Times New Roman" w:cs="Times New Roman"/>
          <w:b/>
          <w:bCs/>
          <w:sz w:val="22"/>
        </w:rPr>
      </w:pPr>
      <w:r>
        <w:rPr>
          <w:rFonts w:ascii="Times New Roman" w:hAnsi="Times New Roman" w:cs="Times New Roman"/>
          <w:b/>
          <w:bCs/>
          <w:sz w:val="22"/>
        </w:rPr>
        <w:t>附件一：合同协议书</w:t>
      </w:r>
    </w:p>
    <w:p>
      <w:pPr>
        <w:pStyle w:val="2"/>
        <w:jc w:val="center"/>
        <w:rPr>
          <w:rFonts w:ascii="Times New Roman" w:hAnsi="Times New Roman" w:cs="Times New Roman"/>
        </w:rPr>
      </w:pPr>
      <w:r>
        <w:rPr>
          <w:rFonts w:ascii="Times New Roman" w:hAnsi="Times New Roman" w:cs="Times New Roman"/>
          <w:sz w:val="22"/>
          <w:szCs w:val="21"/>
        </w:rPr>
        <w:t>合同协议书</w:t>
      </w:r>
    </w:p>
    <w:p>
      <w:pPr>
        <w:snapToGrid w:val="0"/>
        <w:spacing w:line="360" w:lineRule="auto"/>
        <w:ind w:firstLine="420" w:firstLineChars="200"/>
        <w:rPr>
          <w:rFonts w:ascii="Times New Roman" w:hAnsi="Times New Roman" w:cs="Times New Roman"/>
        </w:rPr>
      </w:pPr>
      <w:r>
        <w:rPr>
          <w:rFonts w:ascii="Times New Roman" w:hAnsi="Times New Roman" w:cs="Times New Roman"/>
        </w:rPr>
        <w:t>本协议书由______________（下称“甲方”）为一方，与</w:t>
      </w:r>
      <w:r>
        <w:rPr>
          <w:rFonts w:ascii="Times New Roman" w:hAnsi="Times New Roman" w:cs="Times New Roman"/>
          <w:u w:val="single"/>
        </w:rPr>
        <w:t>（乙方全称）</w:t>
      </w:r>
      <w:r>
        <w:rPr>
          <w:rFonts w:ascii="Times New Roman" w:hAnsi="Times New Roman" w:cs="Times New Roman"/>
        </w:rPr>
        <w:t>（下称“乙方”）为另一方于______年____月____日共同订立。</w:t>
      </w:r>
    </w:p>
    <w:p>
      <w:pPr>
        <w:snapToGrid w:val="0"/>
        <w:spacing w:line="360" w:lineRule="auto"/>
        <w:ind w:firstLine="420" w:firstLineChars="200"/>
        <w:rPr>
          <w:rFonts w:ascii="Times New Roman" w:hAnsi="Times New Roman" w:cs="Times New Roman"/>
        </w:rPr>
      </w:pPr>
      <w:r>
        <w:rPr>
          <w:rFonts w:ascii="Times New Roman" w:hAnsi="Times New Roman" w:cs="Times New Roman"/>
        </w:rPr>
        <w:t>鉴于甲方已委托乙方为服务并已接受了乙方就此提出的报价，以明确双方在合同期间的义务、责任、权力和利益，兹就以下事项达成协议：</w:t>
      </w:r>
    </w:p>
    <w:p>
      <w:pPr>
        <w:snapToGrid w:val="0"/>
        <w:spacing w:line="360" w:lineRule="auto"/>
        <w:ind w:firstLine="420" w:firstLineChars="200"/>
        <w:rPr>
          <w:rFonts w:ascii="Times New Roman" w:hAnsi="Times New Roman" w:cs="Times New Roman"/>
        </w:rPr>
      </w:pPr>
      <w:r>
        <w:rPr>
          <w:rFonts w:ascii="Times New Roman" w:hAnsi="Times New Roman" w:cs="Times New Roman"/>
        </w:rPr>
        <w:t>1. 本协议书中的词句和用语与合同条款所规定的定义相同。</w:t>
      </w:r>
    </w:p>
    <w:p>
      <w:pPr>
        <w:snapToGrid w:val="0"/>
        <w:spacing w:line="360" w:lineRule="auto"/>
        <w:ind w:firstLine="420" w:firstLineChars="200"/>
        <w:rPr>
          <w:rFonts w:ascii="Times New Roman" w:hAnsi="Times New Roman" w:cs="Times New Roman"/>
        </w:rPr>
      </w:pPr>
      <w:r>
        <w:rPr>
          <w:rFonts w:ascii="Times New Roman" w:hAnsi="Times New Roman" w:cs="Times New Roman"/>
        </w:rPr>
        <w:t>2. 下列文件是本协议书的组成部分，应作为协议书的有效内容予以遵守和执行。</w:t>
      </w:r>
    </w:p>
    <w:p>
      <w:pPr>
        <w:snapToGrid w:val="0"/>
        <w:spacing w:line="360" w:lineRule="auto"/>
        <w:ind w:firstLine="420" w:firstLineChars="200"/>
        <w:rPr>
          <w:rFonts w:ascii="Times New Roman" w:hAnsi="Times New Roman" w:cs="Times New Roman"/>
        </w:rPr>
      </w:pPr>
      <w:r>
        <w:rPr>
          <w:rFonts w:ascii="Times New Roman" w:hAnsi="Times New Roman" w:cs="Times New Roman"/>
        </w:rPr>
        <w:t>（1）本合同协议书及各种合同附件；</w:t>
      </w:r>
    </w:p>
    <w:p>
      <w:pPr>
        <w:snapToGrid w:val="0"/>
        <w:spacing w:line="360" w:lineRule="auto"/>
        <w:ind w:firstLine="420" w:firstLineChars="200"/>
        <w:rPr>
          <w:rFonts w:ascii="Times New Roman" w:hAnsi="Times New Roman" w:cs="Times New Roman"/>
        </w:rPr>
      </w:pPr>
      <w:r>
        <w:rPr>
          <w:rFonts w:ascii="Times New Roman" w:hAnsi="Times New Roman" w:cs="Times New Roman"/>
        </w:rPr>
        <w:t>（2）成交通知书；</w:t>
      </w:r>
    </w:p>
    <w:p>
      <w:pPr>
        <w:snapToGrid w:val="0"/>
        <w:spacing w:line="360" w:lineRule="auto"/>
        <w:ind w:firstLine="420" w:firstLineChars="200"/>
        <w:rPr>
          <w:rFonts w:ascii="Times New Roman" w:hAnsi="Times New Roman" w:cs="Times New Roman"/>
        </w:rPr>
      </w:pPr>
      <w:r>
        <w:rPr>
          <w:rFonts w:ascii="Times New Roman" w:hAnsi="Times New Roman" w:cs="Times New Roman"/>
        </w:rPr>
        <w:t>（3）报价函；</w:t>
      </w:r>
    </w:p>
    <w:p>
      <w:pPr>
        <w:snapToGrid w:val="0"/>
        <w:spacing w:line="360" w:lineRule="auto"/>
        <w:ind w:firstLine="420" w:firstLineChars="200"/>
        <w:rPr>
          <w:rFonts w:ascii="Times New Roman" w:hAnsi="Times New Roman" w:cs="Times New Roman"/>
        </w:rPr>
      </w:pPr>
      <w:r>
        <w:rPr>
          <w:rFonts w:ascii="Times New Roman" w:hAnsi="Times New Roman" w:cs="Times New Roman"/>
        </w:rPr>
        <w:t>（4）合同条款；</w:t>
      </w:r>
    </w:p>
    <w:p>
      <w:pPr>
        <w:snapToGrid w:val="0"/>
        <w:spacing w:line="360" w:lineRule="auto"/>
        <w:ind w:firstLine="420" w:firstLineChars="200"/>
        <w:rPr>
          <w:rFonts w:ascii="Times New Roman" w:hAnsi="Times New Roman" w:cs="Times New Roman"/>
        </w:rPr>
      </w:pPr>
      <w:r>
        <w:rPr>
          <w:rFonts w:ascii="Times New Roman" w:hAnsi="Times New Roman" w:cs="Times New Roman"/>
        </w:rPr>
        <w:t>（5）采购需求；</w:t>
      </w:r>
    </w:p>
    <w:p>
      <w:pPr>
        <w:snapToGrid w:val="0"/>
        <w:spacing w:line="360" w:lineRule="auto"/>
        <w:ind w:firstLine="420" w:firstLineChars="200"/>
        <w:rPr>
          <w:rFonts w:ascii="Times New Roman" w:hAnsi="Times New Roman" w:cs="Times New Roman"/>
        </w:rPr>
      </w:pPr>
      <w:r>
        <w:rPr>
          <w:rFonts w:ascii="Times New Roman" w:hAnsi="Times New Roman" w:cs="Times New Roman"/>
        </w:rPr>
        <w:t>（6）已标价的报价清单；</w:t>
      </w:r>
    </w:p>
    <w:p>
      <w:pPr>
        <w:snapToGrid w:val="0"/>
        <w:spacing w:line="360" w:lineRule="auto"/>
        <w:ind w:firstLine="420" w:firstLineChars="200"/>
        <w:rPr>
          <w:rFonts w:ascii="Times New Roman" w:hAnsi="Times New Roman" w:cs="Times New Roman"/>
        </w:rPr>
      </w:pPr>
      <w:r>
        <w:rPr>
          <w:rFonts w:ascii="Times New Roman" w:hAnsi="Times New Roman" w:cs="Times New Roman"/>
        </w:rPr>
        <w:t>（7）构成本合同组成部分的其他文件。</w:t>
      </w:r>
    </w:p>
    <w:p>
      <w:pPr>
        <w:snapToGrid w:val="0"/>
        <w:spacing w:line="360" w:lineRule="auto"/>
        <w:ind w:firstLine="420" w:firstLineChars="200"/>
        <w:rPr>
          <w:rFonts w:ascii="Times New Roman" w:hAnsi="Times New Roman" w:cs="Times New Roman"/>
        </w:rPr>
      </w:pPr>
      <w:r>
        <w:rPr>
          <w:rFonts w:ascii="Times New Roman" w:hAnsi="Times New Roman" w:cs="Times New Roman"/>
        </w:rPr>
        <w:t>上述文件将互相补充，若有不明确或不一致之处，以上列次序在先者为准。</w:t>
      </w:r>
    </w:p>
    <w:p>
      <w:pPr>
        <w:snapToGrid w:val="0"/>
        <w:spacing w:line="360" w:lineRule="auto"/>
        <w:ind w:firstLine="420" w:firstLineChars="200"/>
        <w:rPr>
          <w:rFonts w:ascii="Times New Roman" w:hAnsi="Times New Roman" w:cs="Times New Roman"/>
        </w:rPr>
      </w:pPr>
      <w:r>
        <w:rPr>
          <w:rFonts w:ascii="Times New Roman" w:hAnsi="Times New Roman" w:cs="Times New Roman"/>
        </w:rPr>
        <w:t xml:space="preserve">3. </w:t>
      </w:r>
      <w:r>
        <w:rPr>
          <w:rFonts w:ascii="Times New Roman" w:hAnsi="Times New Roman" w:cs="Times New Roman"/>
          <w:szCs w:val="21"/>
        </w:rPr>
        <w:t>根据报价清单所列的预计数量和单价或总额价计算的签约合同价：人民币（大写）（￥）。</w:t>
      </w:r>
    </w:p>
    <w:p>
      <w:pPr>
        <w:snapToGrid w:val="0"/>
        <w:spacing w:line="360" w:lineRule="auto"/>
        <w:ind w:firstLine="420" w:firstLineChars="200"/>
        <w:rPr>
          <w:rFonts w:ascii="Times New Roman" w:hAnsi="Times New Roman" w:cs="Times New Roman"/>
        </w:rPr>
      </w:pPr>
      <w:r>
        <w:rPr>
          <w:rFonts w:ascii="Times New Roman" w:hAnsi="Times New Roman" w:cs="Times New Roman"/>
        </w:rPr>
        <w:t>4. 甲方在此同意按照本合同规定的期限和方式，向乙方支付根据合同规定应支付的费用和提供工作条件。</w:t>
      </w:r>
    </w:p>
    <w:p>
      <w:pPr>
        <w:snapToGrid w:val="0"/>
        <w:spacing w:line="360" w:lineRule="auto"/>
        <w:ind w:firstLine="420" w:firstLineChars="200"/>
        <w:rPr>
          <w:rFonts w:ascii="Times New Roman" w:hAnsi="Times New Roman" w:cs="Times New Roman"/>
        </w:rPr>
      </w:pPr>
      <w:r>
        <w:rPr>
          <w:rFonts w:ascii="Times New Roman" w:hAnsi="Times New Roman" w:cs="Times New Roman"/>
        </w:rPr>
        <w:t>5. 乙方基于甲方的上述保证，在此向甲方承诺按照本合同的规定履行相关服务。</w:t>
      </w:r>
    </w:p>
    <w:p>
      <w:pPr>
        <w:snapToGrid w:val="0"/>
        <w:spacing w:line="360" w:lineRule="auto"/>
        <w:ind w:firstLine="420" w:firstLineChars="200"/>
        <w:rPr>
          <w:rFonts w:ascii="Times New Roman" w:hAnsi="Times New Roman" w:cs="Times New Roman"/>
        </w:rPr>
      </w:pPr>
      <w:r>
        <w:rPr>
          <w:rFonts w:ascii="Times New Roman" w:hAnsi="Times New Roman" w:cs="Times New Roman"/>
        </w:rPr>
        <w:t xml:space="preserve">6. </w:t>
      </w:r>
      <w:r>
        <w:rPr>
          <w:rFonts w:ascii="Times New Roman" w:hAnsi="Times New Roman" w:cs="Times New Roman"/>
          <w:szCs w:val="21"/>
        </w:rPr>
        <w:t>本协议书在乙方提供履约担保后，由双方法定代表人或其委托代理人签署并加盖单位章后生效。全部工作完成并经甲方验收通过后失效。</w:t>
      </w:r>
    </w:p>
    <w:p>
      <w:pPr>
        <w:snapToGrid w:val="0"/>
        <w:spacing w:line="360" w:lineRule="auto"/>
        <w:ind w:firstLine="420" w:firstLineChars="200"/>
        <w:rPr>
          <w:rFonts w:ascii="Times New Roman" w:hAnsi="Times New Roman" w:cs="Times New Roman"/>
        </w:rPr>
      </w:pPr>
      <w:r>
        <w:rPr>
          <w:rFonts w:ascii="Times New Roman" w:hAnsi="Times New Roman" w:cs="Times New Roman"/>
        </w:rPr>
        <w:t xml:space="preserve">7. </w:t>
      </w:r>
      <w:r>
        <w:rPr>
          <w:rFonts w:ascii="Times New Roman" w:hAnsi="Times New Roman" w:cs="Times New Roman"/>
          <w:szCs w:val="21"/>
        </w:rPr>
        <w:t>本协议书正本二份、副本份，合同双方各执正本一份，副本份，当正本与副本的内容不一致时，以正本为准。</w:t>
      </w:r>
    </w:p>
    <w:p>
      <w:pPr>
        <w:snapToGrid w:val="0"/>
        <w:spacing w:line="360" w:lineRule="auto"/>
        <w:ind w:firstLine="420" w:firstLineChars="200"/>
        <w:rPr>
          <w:rFonts w:ascii="Times New Roman" w:hAnsi="Times New Roman" w:cs="Times New Roman"/>
        </w:rPr>
      </w:pPr>
      <w:r>
        <w:rPr>
          <w:rFonts w:ascii="Times New Roman" w:hAnsi="Times New Roman" w:cs="Times New Roman"/>
          <w:szCs w:val="21"/>
        </w:rPr>
        <w:t>8. 合同未尽事宜，双方另行签订补充协议。补充协议是合同的组成部分。</w:t>
      </w:r>
    </w:p>
    <w:p>
      <w:pPr>
        <w:spacing w:line="440" w:lineRule="exact"/>
        <w:rPr>
          <w:rFonts w:ascii="Times New Roman" w:hAnsi="Times New Roman" w:cs="Times New Roman"/>
          <w:szCs w:val="21"/>
        </w:rPr>
      </w:pPr>
      <w:r>
        <w:rPr>
          <w:rFonts w:ascii="Times New Roman" w:hAnsi="Times New Roman" w:cs="Times New Roman"/>
          <w:szCs w:val="21"/>
        </w:rPr>
        <w:t>甲方： (盖单位章)      乙方：(盖单位章)</w:t>
      </w:r>
    </w:p>
    <w:p>
      <w:pPr>
        <w:spacing w:line="440" w:lineRule="exact"/>
        <w:rPr>
          <w:rFonts w:ascii="Times New Roman" w:hAnsi="Times New Roman" w:cs="Times New Roman"/>
          <w:szCs w:val="21"/>
        </w:rPr>
      </w:pPr>
      <w:r>
        <w:rPr>
          <w:rFonts w:ascii="Times New Roman" w:hAnsi="Times New Roman" w:cs="Times New Roman"/>
          <w:szCs w:val="21"/>
        </w:rPr>
        <w:t>法定代表人或其委托代理人：(签名) 法定代表人或其委托代理人：(签名)</w:t>
      </w:r>
    </w:p>
    <w:p>
      <w:pPr>
        <w:spacing w:line="440" w:lineRule="exact"/>
        <w:rPr>
          <w:rFonts w:ascii="Times New Roman" w:hAnsi="Times New Roman" w:cs="Times New Roman"/>
          <w:szCs w:val="21"/>
        </w:rPr>
      </w:pPr>
      <w:r>
        <w:rPr>
          <w:rFonts w:ascii="Times New Roman" w:hAnsi="Times New Roman" w:cs="Times New Roman"/>
          <w:szCs w:val="21"/>
        </w:rPr>
        <w:t>年月日年月日</w:t>
      </w:r>
    </w:p>
    <w:p>
      <w:pPr>
        <w:pStyle w:val="2"/>
        <w:rPr>
          <w:rFonts w:ascii="Times New Roman" w:hAnsi="Times New Roman" w:cs="Times New Roman"/>
          <w:u w:val="single"/>
        </w:rPr>
      </w:pPr>
      <w:r>
        <w:rPr>
          <w:rFonts w:ascii="Times New Roman" w:hAnsi="Times New Roman" w:cs="Times New Roman"/>
          <w:u w:val="single"/>
        </w:rPr>
        <w:t>（签字）（签字）</w:t>
      </w:r>
    </w:p>
    <w:p>
      <w:pPr>
        <w:pStyle w:val="2"/>
        <w:rPr>
          <w:rFonts w:ascii="Times New Roman" w:hAnsi="Times New Roman" w:cs="Times New Roman"/>
          <w:u w:val="single"/>
        </w:rPr>
      </w:pPr>
    </w:p>
    <w:p>
      <w:pPr>
        <w:pStyle w:val="2"/>
        <w:rPr>
          <w:rFonts w:ascii="Times New Roman" w:hAnsi="Times New Roman" w:cs="Times New Roman"/>
          <w:u w:val="single"/>
        </w:rPr>
      </w:pPr>
    </w:p>
    <w:p>
      <w:pPr>
        <w:keepNext/>
        <w:keepLines/>
        <w:spacing w:before="120" w:line="440" w:lineRule="exact"/>
        <w:outlineLvl w:val="1"/>
        <w:rPr>
          <w:rFonts w:ascii="Times New Roman" w:hAnsi="Times New Roman" w:cs="Times New Roman"/>
          <w:b/>
          <w:bCs/>
          <w:sz w:val="22"/>
        </w:rPr>
      </w:pPr>
      <w:r>
        <w:rPr>
          <w:rFonts w:ascii="Times New Roman" w:hAnsi="Times New Roman" w:cs="Times New Roman"/>
          <w:b/>
          <w:bCs/>
          <w:sz w:val="22"/>
        </w:rPr>
        <w:t>附件二：项目负责人委任书（如有）</w:t>
      </w:r>
    </w:p>
    <w:p>
      <w:pPr>
        <w:pStyle w:val="44"/>
        <w:spacing w:line="440" w:lineRule="exact"/>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r>
        <w:rPr>
          <w:rFonts w:ascii="Times New Roman" w:hAnsi="Times New Roman" w:cs="Times New Roman" w:eastAsiaTheme="minorEastAsia"/>
          <w:sz w:val="22"/>
          <w:szCs w:val="21"/>
          <w:u w:val="single"/>
        </w:rPr>
        <w:t>乙方全称</w:t>
      </w:r>
      <w:r>
        <w:rPr>
          <w:rFonts w:ascii="Times New Roman" w:hAnsi="Times New Roman" w:cs="Times New Roman" w:eastAsiaTheme="minorEastAsia"/>
          <w:sz w:val="22"/>
          <w:szCs w:val="21"/>
        </w:rPr>
        <w:t>)</w:t>
      </w:r>
    </w:p>
    <w:p>
      <w:pPr>
        <w:pStyle w:val="44"/>
        <w:spacing w:line="440" w:lineRule="exact"/>
        <w:rPr>
          <w:rFonts w:ascii="Times New Roman" w:hAnsi="Times New Roman" w:cs="Times New Roman" w:eastAsiaTheme="minorEastAsia"/>
          <w:sz w:val="21"/>
          <w:szCs w:val="21"/>
        </w:rPr>
      </w:pPr>
      <w:r>
        <w:rPr>
          <w:rFonts w:ascii="Times New Roman" w:hAnsi="Times New Roman" w:cs="Times New Roman" w:eastAsiaTheme="minorEastAsia"/>
          <w:sz w:val="22"/>
          <w:szCs w:val="21"/>
        </w:rPr>
        <w:t>(</w:t>
      </w:r>
      <w:r>
        <w:rPr>
          <w:rFonts w:ascii="Times New Roman" w:hAnsi="Times New Roman" w:cs="Times New Roman" w:eastAsiaTheme="minorEastAsia"/>
          <w:sz w:val="22"/>
          <w:szCs w:val="21"/>
          <w:u w:val="single"/>
        </w:rPr>
        <w:t>合同项目名称</w:t>
      </w:r>
      <w:r>
        <w:rPr>
          <w:rFonts w:ascii="Times New Roman" w:hAnsi="Times New Roman" w:cs="Times New Roman" w:eastAsiaTheme="minorEastAsia"/>
          <w:sz w:val="22"/>
          <w:szCs w:val="21"/>
        </w:rPr>
        <w:t>) 项目负责人委任书</w:t>
      </w:r>
    </w:p>
    <w:p>
      <w:pPr>
        <w:snapToGrid w:val="0"/>
        <w:spacing w:line="440" w:lineRule="exact"/>
        <w:ind w:firstLine="480"/>
        <w:rPr>
          <w:rFonts w:ascii="Times New Roman" w:hAnsi="Times New Roman" w:cs="Times New Roman"/>
          <w:szCs w:val="21"/>
        </w:rPr>
      </w:pPr>
    </w:p>
    <w:p>
      <w:pPr>
        <w:snapToGrid w:val="0"/>
        <w:spacing w:line="440" w:lineRule="exact"/>
        <w:ind w:firstLine="480"/>
        <w:rPr>
          <w:rFonts w:ascii="Times New Roman" w:hAnsi="Times New Roman" w:cs="Times New Roman"/>
          <w:szCs w:val="21"/>
        </w:rPr>
      </w:pPr>
    </w:p>
    <w:p>
      <w:pPr>
        <w:spacing w:line="440" w:lineRule="exact"/>
        <w:rPr>
          <w:rFonts w:ascii="Times New Roman" w:hAnsi="Times New Roman" w:cs="Times New Roman"/>
          <w:szCs w:val="21"/>
        </w:rPr>
      </w:pPr>
      <w:r>
        <w:rPr>
          <w:rFonts w:ascii="Times New Roman" w:hAnsi="Times New Roman" w:cs="Times New Roman"/>
          <w:szCs w:val="21"/>
        </w:rPr>
        <w:t>致：</w:t>
      </w:r>
      <w:r>
        <w:rPr>
          <w:rFonts w:ascii="Times New Roman" w:hAnsi="Times New Roman" w:cs="Times New Roman"/>
          <w:szCs w:val="21"/>
          <w:u w:val="single"/>
        </w:rPr>
        <w:t>(甲方全称)</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u w:val="single"/>
        </w:rPr>
        <w:t xml:space="preserve">(乙方全称) </w:t>
      </w:r>
      <w:r>
        <w:rPr>
          <w:rFonts w:ascii="Times New Roman" w:hAnsi="Times New Roman" w:cs="Times New Roman"/>
          <w:szCs w:val="21"/>
        </w:rPr>
        <w:t>法定代表人</w:t>
      </w:r>
      <w:r>
        <w:rPr>
          <w:rFonts w:ascii="Times New Roman" w:hAnsi="Times New Roman" w:cs="Times New Roman"/>
          <w:szCs w:val="21"/>
          <w:u w:val="single"/>
        </w:rPr>
        <w:t xml:space="preserve"> (职务、姓名) </w:t>
      </w:r>
      <w:r>
        <w:rPr>
          <w:rFonts w:ascii="Times New Roman" w:hAnsi="Times New Roman" w:cs="Times New Roman"/>
          <w:szCs w:val="21"/>
        </w:rPr>
        <w:t>代表本单位委任</w:t>
      </w:r>
      <w:r>
        <w:rPr>
          <w:rFonts w:ascii="Times New Roman" w:hAnsi="Times New Roman" w:cs="Times New Roman"/>
          <w:szCs w:val="21"/>
          <w:u w:val="single"/>
        </w:rPr>
        <w:t xml:space="preserve"> (职务、姓名) </w:t>
      </w:r>
      <w:r>
        <w:rPr>
          <w:rFonts w:ascii="Times New Roman" w:hAnsi="Times New Roman" w:cs="Times New Roman"/>
          <w:szCs w:val="21"/>
        </w:rPr>
        <w:t>为</w:t>
      </w:r>
      <w:r>
        <w:rPr>
          <w:rFonts w:ascii="Times New Roman" w:hAnsi="Times New Roman" w:cs="Times New Roman"/>
          <w:szCs w:val="21"/>
          <w:u w:val="single"/>
        </w:rPr>
        <w:t>(合同项目名称)</w:t>
      </w:r>
      <w:r>
        <w:rPr>
          <w:rFonts w:ascii="Times New Roman" w:hAnsi="Times New Roman" w:cs="Times New Roman"/>
          <w:szCs w:val="21"/>
        </w:rPr>
        <w:t>的项目负责人。凡本合同执行中的有关技术、进度、质量检验、结算与支付等方面工作，由</w:t>
      </w:r>
      <w:r>
        <w:rPr>
          <w:rFonts w:ascii="Times New Roman" w:hAnsi="Times New Roman" w:cs="Times New Roman"/>
          <w:szCs w:val="21"/>
          <w:u w:val="single"/>
        </w:rPr>
        <w:t xml:space="preserve">  (姓名) </w:t>
      </w:r>
      <w:r>
        <w:rPr>
          <w:rFonts w:ascii="Times New Roman" w:hAnsi="Times New Roman" w:cs="Times New Roman"/>
          <w:szCs w:val="21"/>
        </w:rPr>
        <w:t>代表本单位全面负责。</w:t>
      </w:r>
    </w:p>
    <w:p>
      <w:pPr>
        <w:spacing w:line="440" w:lineRule="exact"/>
        <w:ind w:firstLine="539" w:firstLineChars="257"/>
        <w:rPr>
          <w:rFonts w:ascii="Times New Roman" w:hAnsi="Times New Roman" w:cs="Times New Roman"/>
          <w:szCs w:val="21"/>
        </w:rPr>
      </w:pPr>
    </w:p>
    <w:p>
      <w:pPr>
        <w:snapToGrid w:val="0"/>
        <w:spacing w:line="440" w:lineRule="exact"/>
        <w:rPr>
          <w:rFonts w:ascii="Times New Roman" w:hAnsi="Times New Roman" w:cs="Times New Roman"/>
          <w:szCs w:val="21"/>
        </w:rPr>
      </w:pPr>
      <w:r>
        <w:rPr>
          <w:rFonts w:ascii="Times New Roman" w:hAnsi="Times New Roman" w:cs="Times New Roman"/>
          <w:szCs w:val="21"/>
        </w:rPr>
        <w:t>乙方：(盖单位章)</w:t>
      </w:r>
    </w:p>
    <w:p>
      <w:pPr>
        <w:snapToGrid w:val="0"/>
        <w:spacing w:line="440" w:lineRule="exact"/>
        <w:ind w:firstLine="4620" w:firstLineChars="2200"/>
        <w:jc w:val="left"/>
        <w:rPr>
          <w:rFonts w:ascii="Times New Roman" w:hAnsi="Times New Roman" w:cs="Times New Roman"/>
          <w:szCs w:val="21"/>
          <w:u w:val="single"/>
        </w:rPr>
      </w:pPr>
      <w:r>
        <w:rPr>
          <w:rFonts w:ascii="Times New Roman" w:hAnsi="Times New Roman" w:cs="Times New Roman"/>
          <w:szCs w:val="21"/>
        </w:rPr>
        <w:t>法定代表人：</w:t>
      </w:r>
      <w:r>
        <w:rPr>
          <w:rFonts w:ascii="Times New Roman" w:hAnsi="Times New Roman" w:cs="Times New Roman"/>
          <w:szCs w:val="21"/>
          <w:u w:val="single"/>
        </w:rPr>
        <w:t xml:space="preserve">       (职务)   </w:t>
      </w:r>
    </w:p>
    <w:p>
      <w:pPr>
        <w:snapToGrid w:val="0"/>
        <w:spacing w:line="440" w:lineRule="exact"/>
        <w:rPr>
          <w:rFonts w:ascii="Times New Roman" w:hAnsi="Times New Roman" w:cs="Times New Roman"/>
          <w:szCs w:val="21"/>
          <w:u w:val="single"/>
        </w:rPr>
      </w:pPr>
      <w:r>
        <w:rPr>
          <w:rFonts w:ascii="Times New Roman" w:hAnsi="Times New Roman" w:cs="Times New Roman"/>
          <w:szCs w:val="21"/>
          <w:u w:val="single"/>
        </w:rPr>
        <w:t xml:space="preserve">           (姓名)   </w:t>
      </w:r>
    </w:p>
    <w:p>
      <w:pPr>
        <w:snapToGrid w:val="0"/>
        <w:spacing w:line="440" w:lineRule="exact"/>
        <w:rPr>
          <w:rFonts w:ascii="Times New Roman" w:hAnsi="Times New Roman" w:cs="Times New Roman"/>
          <w:szCs w:val="21"/>
          <w:u w:val="single"/>
        </w:rPr>
      </w:pPr>
      <w:r>
        <w:rPr>
          <w:rFonts w:ascii="Times New Roman" w:hAnsi="Times New Roman" w:cs="Times New Roman"/>
          <w:szCs w:val="21"/>
          <w:u w:val="single"/>
        </w:rPr>
        <w:t xml:space="preserve">           (签名)   </w:t>
      </w:r>
    </w:p>
    <w:p>
      <w:pPr>
        <w:pStyle w:val="2"/>
        <w:rPr>
          <w:rFonts w:ascii="Times New Roman" w:hAnsi="Times New Roman" w:cs="Times New Roman"/>
          <w:szCs w:val="21"/>
        </w:rPr>
      </w:pPr>
      <w:r>
        <w:rPr>
          <w:rFonts w:ascii="Times New Roman" w:hAnsi="Times New Roman" w:cs="Times New Roman"/>
          <w:szCs w:val="21"/>
        </w:rPr>
        <w:t>年月日</w:t>
      </w:r>
    </w:p>
    <w:p>
      <w:pPr>
        <w:rPr>
          <w:rFonts w:ascii="Times New Roman" w:hAnsi="Times New Roman" w:cs="Times New Roman"/>
          <w:szCs w:val="21"/>
        </w:rPr>
      </w:pPr>
      <w:r>
        <w:rPr>
          <w:rFonts w:ascii="Times New Roman" w:hAnsi="Times New Roman" w:cs="Times New Roman"/>
          <w:szCs w:val="21"/>
        </w:rPr>
        <w:br w:type="page"/>
      </w:r>
    </w:p>
    <w:p>
      <w:pPr>
        <w:pStyle w:val="3"/>
        <w:numPr>
          <w:ilvl w:val="0"/>
          <w:numId w:val="0"/>
        </w:numPr>
        <w:tabs>
          <w:tab w:val="left" w:pos="0"/>
          <w:tab w:val="clear" w:pos="4701"/>
        </w:tabs>
        <w:spacing w:before="312" w:after="312"/>
        <w:ind w:left="401" w:leftChars="191" w:firstLine="1800" w:firstLineChars="500"/>
        <w:jc w:val="both"/>
        <w:rPr>
          <w:rFonts w:ascii="宋体" w:hAnsi="宋体" w:eastAsia="宋体" w:cs="Times New Roman"/>
        </w:rPr>
      </w:pPr>
      <w:r>
        <w:rPr>
          <w:rFonts w:hint="eastAsia" w:ascii="宋体" w:hAnsi="宋体" w:eastAsia="宋体"/>
          <w:szCs w:val="36"/>
        </w:rPr>
        <w:t xml:space="preserve">第五章  </w:t>
      </w:r>
      <w:r>
        <w:rPr>
          <w:rFonts w:ascii="宋体" w:hAnsi="宋体" w:eastAsia="宋体" w:cs="Times New Roman"/>
        </w:rPr>
        <w:t>采购需求及清单</w:t>
      </w:r>
    </w:p>
    <w:p>
      <w:pPr>
        <w:spacing w:line="400" w:lineRule="exact"/>
        <w:ind w:firstLine="420" w:firstLineChars="200"/>
        <w:rPr>
          <w:rFonts w:asciiTheme="minorEastAsia" w:hAnsiTheme="minorEastAsia"/>
          <w:b/>
          <w:szCs w:val="21"/>
        </w:rPr>
      </w:pPr>
      <w:r>
        <w:rPr>
          <w:rFonts w:hint="eastAsia" w:asciiTheme="minorEastAsia" w:hAnsiTheme="minorEastAsia"/>
          <w:b/>
          <w:szCs w:val="21"/>
        </w:rPr>
        <w:t>一、项目基本情况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（一）项目名称：</w:t>
      </w:r>
      <w:r>
        <w:rPr>
          <w:rFonts w:hint="eastAsia" w:asciiTheme="minorEastAsia" w:hAnsiTheme="minorEastAsia"/>
          <w:szCs w:val="21"/>
          <w:lang w:eastAsia="zh-CN"/>
        </w:rPr>
        <w:t>安徽省经工建设集团有限公司</w:t>
      </w:r>
      <w:r>
        <w:rPr>
          <w:rFonts w:hint="eastAsia" w:asciiTheme="minorEastAsia" w:hAnsiTheme="minorEastAsia"/>
          <w:szCs w:val="21"/>
        </w:rPr>
        <w:t>内控体系建设项目</w:t>
      </w:r>
    </w:p>
    <w:p>
      <w:pPr>
        <w:spacing w:line="400" w:lineRule="exact"/>
        <w:ind w:firstLine="420" w:firstLineChars="200"/>
        <w:rPr>
          <w:rFonts w:asciiTheme="minorEastAsia" w:hAnsiTheme="minorEastAsia"/>
          <w:szCs w:val="21"/>
        </w:rPr>
      </w:pPr>
      <w:r>
        <w:rPr>
          <w:rFonts w:hint="eastAsia" w:asciiTheme="minorEastAsia" w:hAnsiTheme="minorEastAsia"/>
          <w:szCs w:val="21"/>
        </w:rPr>
        <w:t>（二）项目概况：鉴于</w:t>
      </w:r>
      <w:r>
        <w:rPr>
          <w:rFonts w:hint="eastAsia" w:asciiTheme="minorEastAsia" w:hAnsiTheme="minorEastAsia"/>
          <w:szCs w:val="21"/>
          <w:lang w:eastAsia="zh-CN"/>
        </w:rPr>
        <w:t>安徽省经工建设集团有限公司</w:t>
      </w:r>
      <w:r>
        <w:rPr>
          <w:rFonts w:hint="eastAsia" w:asciiTheme="minorEastAsia" w:hAnsiTheme="minorEastAsia"/>
          <w:szCs w:val="21"/>
        </w:rPr>
        <w:t xml:space="preserve"> （以下简称</w:t>
      </w:r>
      <w:r>
        <w:rPr>
          <w:rFonts w:asciiTheme="minorEastAsia" w:hAnsiTheme="minorEastAsia"/>
          <w:szCs w:val="21"/>
        </w:rPr>
        <w:t>“</w:t>
      </w:r>
      <w:r>
        <w:rPr>
          <w:rFonts w:hint="eastAsia" w:asciiTheme="minorEastAsia" w:hAnsiTheme="minorEastAsia"/>
          <w:szCs w:val="21"/>
          <w:lang w:val="en-US" w:eastAsia="zh-CN"/>
        </w:rPr>
        <w:t>经工集团</w:t>
      </w:r>
      <w:r>
        <w:rPr>
          <w:rFonts w:asciiTheme="minorEastAsia" w:hAnsiTheme="minorEastAsia"/>
          <w:szCs w:val="21"/>
        </w:rPr>
        <w:t>”</w:t>
      </w:r>
      <w:r>
        <w:rPr>
          <w:rFonts w:hint="eastAsia" w:asciiTheme="minorEastAsia" w:hAnsiTheme="minorEastAsia"/>
          <w:szCs w:val="21"/>
        </w:rPr>
        <w:t>）内部控制与风险管理的需要，按照财政部等五部门《企业内部控制基本规范》和配套指引及《关于印发</w:t>
      </w:r>
      <w:r>
        <w:rPr>
          <w:rFonts w:asciiTheme="minorEastAsia" w:hAnsiTheme="minorEastAsia"/>
          <w:szCs w:val="21"/>
        </w:rPr>
        <w:t>&lt;</w:t>
      </w:r>
      <w:r>
        <w:rPr>
          <w:rFonts w:hint="eastAsia" w:asciiTheme="minorEastAsia" w:hAnsiTheme="minorEastAsia"/>
          <w:szCs w:val="21"/>
        </w:rPr>
        <w:t>安徽交控集团关于加强内部控制体系建设与监督工作的实施意见</w:t>
      </w:r>
      <w:r>
        <w:rPr>
          <w:rFonts w:asciiTheme="minorEastAsia" w:hAnsiTheme="minorEastAsia"/>
          <w:szCs w:val="21"/>
        </w:rPr>
        <w:t>&gt;</w:t>
      </w:r>
      <w:r>
        <w:rPr>
          <w:rFonts w:hint="eastAsia" w:asciiTheme="minorEastAsia" w:hAnsiTheme="minorEastAsia"/>
          <w:szCs w:val="21"/>
        </w:rPr>
        <w:t>的通知》（皖交控发〔</w:t>
      </w:r>
      <w:r>
        <w:rPr>
          <w:rFonts w:asciiTheme="minorEastAsia" w:hAnsiTheme="minorEastAsia"/>
          <w:szCs w:val="21"/>
        </w:rPr>
        <w:t>2020</w:t>
      </w:r>
      <w:r>
        <w:rPr>
          <w:rFonts w:hint="eastAsia" w:asciiTheme="minorEastAsia" w:hAnsiTheme="minorEastAsia"/>
          <w:szCs w:val="21"/>
        </w:rPr>
        <w:t>〕</w:t>
      </w:r>
      <w:r>
        <w:rPr>
          <w:rFonts w:asciiTheme="minorEastAsia" w:hAnsiTheme="minorEastAsia"/>
          <w:szCs w:val="21"/>
        </w:rPr>
        <w:t xml:space="preserve">11 </w:t>
      </w:r>
      <w:r>
        <w:rPr>
          <w:rFonts w:hint="eastAsia" w:asciiTheme="minorEastAsia" w:hAnsiTheme="minorEastAsia"/>
          <w:szCs w:val="21"/>
        </w:rPr>
        <w:t>号）的相关要求，构建以风险管理为导向、合规管理监督为重点，严格、规范、全面、有效的内控体系，现拟选聘一家第三方机构提供内控体系建设咨询服务。</w:t>
      </w:r>
    </w:p>
    <w:p>
      <w:pPr>
        <w:spacing w:line="400" w:lineRule="exact"/>
        <w:ind w:firstLine="420" w:firstLineChars="200"/>
        <w:rPr>
          <w:rFonts w:asciiTheme="minorEastAsia" w:hAnsiTheme="minorEastAsia"/>
          <w:bCs/>
          <w:szCs w:val="21"/>
        </w:rPr>
      </w:pPr>
      <w:r>
        <w:rPr>
          <w:rFonts w:hint="eastAsia" w:asciiTheme="minorEastAsia" w:hAnsiTheme="minorEastAsia"/>
          <w:bCs/>
          <w:szCs w:val="21"/>
        </w:rPr>
        <w:t>（三）采购人基本情况介绍</w:t>
      </w:r>
    </w:p>
    <w:p>
      <w:pPr>
        <w:autoSpaceDE w:val="0"/>
        <w:autoSpaceDN w:val="0"/>
        <w:adjustRightInd w:val="0"/>
        <w:spacing w:line="400" w:lineRule="exact"/>
        <w:ind w:firstLine="420" w:firstLineChars="200"/>
        <w:jc w:val="left"/>
        <w:rPr>
          <w:rFonts w:cs="楷体_GB2312" w:asciiTheme="minorEastAsia" w:hAnsiTheme="minorEastAsia"/>
          <w:color w:val="000000"/>
          <w:kern w:val="0"/>
          <w:szCs w:val="21"/>
        </w:rPr>
      </w:pPr>
      <w:r>
        <w:rPr>
          <w:rFonts w:hint="eastAsia" w:cs="仿宋_GB2312" w:asciiTheme="minorEastAsia" w:hAnsiTheme="minorEastAsia"/>
          <w:color w:val="000000"/>
          <w:kern w:val="0"/>
          <w:szCs w:val="21"/>
          <w:lang w:eastAsia="zh-CN"/>
        </w:rPr>
        <w:t>安徽省经工建设集团有限公司</w:t>
      </w:r>
      <w:r>
        <w:rPr>
          <w:rFonts w:hint="eastAsia" w:cs="仿宋_GB2312" w:asciiTheme="minorEastAsia" w:hAnsiTheme="minorEastAsia"/>
          <w:color w:val="000000"/>
          <w:kern w:val="0"/>
          <w:szCs w:val="21"/>
        </w:rPr>
        <w:t>成立于</w:t>
      </w:r>
      <w:r>
        <w:rPr>
          <w:rFonts w:hint="eastAsia" w:cs="仿宋_GB2312" w:asciiTheme="minorEastAsia" w:hAnsiTheme="minorEastAsia"/>
          <w:color w:val="000000"/>
          <w:kern w:val="0"/>
          <w:szCs w:val="21"/>
          <w:lang w:val="en-US" w:eastAsia="zh-CN"/>
        </w:rPr>
        <w:t>上世纪80年代</w:t>
      </w:r>
      <w:r>
        <w:rPr>
          <w:rFonts w:hint="eastAsia" w:cs="仿宋_GB2312" w:asciiTheme="minorEastAsia" w:hAnsiTheme="minorEastAsia"/>
          <w:color w:val="000000"/>
          <w:kern w:val="0"/>
          <w:szCs w:val="21"/>
        </w:rPr>
        <w:t>，</w:t>
      </w:r>
      <w:r>
        <w:rPr>
          <w:rFonts w:hint="eastAsia" w:asciiTheme="minorEastAsia" w:hAnsiTheme="minorEastAsia"/>
          <w:szCs w:val="21"/>
        </w:rPr>
        <w:t>为安徽省交通控股集团有限公司全资子公司（以下简称“交控集团”）。</w:t>
      </w:r>
    </w:p>
    <w:p>
      <w:pPr>
        <w:autoSpaceDE w:val="0"/>
        <w:autoSpaceDN w:val="0"/>
        <w:adjustRightInd w:val="0"/>
        <w:spacing w:line="400" w:lineRule="exact"/>
        <w:ind w:firstLine="420" w:firstLineChars="200"/>
        <w:jc w:val="left"/>
        <w:rPr>
          <w:rFonts w:cs="楷体_GB2312" w:asciiTheme="minorEastAsia" w:hAnsiTheme="minorEastAsia"/>
          <w:color w:val="000000"/>
          <w:kern w:val="0"/>
          <w:szCs w:val="21"/>
        </w:rPr>
      </w:pPr>
      <w:r>
        <w:rPr>
          <w:rFonts w:hint="eastAsia" w:cs="楷体_GB2312" w:asciiTheme="minorEastAsia" w:hAnsiTheme="minorEastAsia"/>
          <w:color w:val="000000"/>
          <w:kern w:val="0"/>
          <w:szCs w:val="21"/>
        </w:rPr>
        <w:t>公司主要业务：房地产开发，房屋建筑工程、公路工程、市政公用工程、水利水电工程施工总承包，建筑装修装饰工程、地基与基础工程、机电设备安装工程、建筑智能化、钢结构工程、消防设施工程专业承包，建筑幕墙工程、安全技术防范工程设计与施工、建筑装饰设计，水电安装，建筑产业化和路桥工业化，境外承包工程及劳务合作</w:t>
      </w:r>
      <w:r>
        <w:rPr>
          <w:rFonts w:cs="楷体_GB2312" w:asciiTheme="minorEastAsia" w:hAnsiTheme="minorEastAsia"/>
          <w:color w:val="000000"/>
          <w:kern w:val="0"/>
          <w:szCs w:val="21"/>
        </w:rPr>
        <w:t>。</w:t>
      </w:r>
    </w:p>
    <w:p>
      <w:pPr>
        <w:spacing w:line="400" w:lineRule="exact"/>
        <w:ind w:firstLine="420" w:firstLineChars="200"/>
        <w:rPr>
          <w:rFonts w:asciiTheme="minorEastAsia" w:hAnsiTheme="minorEastAsia"/>
          <w:b/>
          <w:szCs w:val="21"/>
        </w:rPr>
      </w:pPr>
      <w:r>
        <w:rPr>
          <w:rFonts w:hint="eastAsia" w:asciiTheme="minorEastAsia" w:hAnsiTheme="minorEastAsia"/>
          <w:b/>
          <w:szCs w:val="21"/>
        </w:rPr>
        <w:t>二、项目目标</w:t>
      </w:r>
      <w:r>
        <w:rPr>
          <w:rFonts w:asciiTheme="minorEastAsia" w:hAnsiTheme="minorEastAsia"/>
          <w:b/>
          <w:szCs w:val="21"/>
        </w:rPr>
        <w:tab/>
      </w:r>
    </w:p>
    <w:p>
      <w:pPr>
        <w:snapToGrid w:val="0"/>
        <w:spacing w:line="400" w:lineRule="exact"/>
        <w:ind w:firstLine="420" w:firstLineChars="200"/>
        <w:rPr>
          <w:rFonts w:asciiTheme="minorEastAsia" w:hAnsiTheme="minorEastAsia"/>
          <w:szCs w:val="21"/>
        </w:rPr>
      </w:pPr>
      <w:r>
        <w:rPr>
          <w:rFonts w:hint="eastAsia" w:asciiTheme="minorEastAsia" w:hAnsiTheme="minorEastAsia"/>
          <w:szCs w:val="21"/>
        </w:rPr>
        <w:t>根据</w:t>
      </w:r>
      <w:r>
        <w:rPr>
          <w:rFonts w:hint="eastAsia" w:asciiTheme="minorEastAsia" w:hAnsiTheme="minorEastAsia"/>
          <w:szCs w:val="21"/>
          <w:lang w:eastAsia="zh-CN"/>
        </w:rPr>
        <w:t>经工集团</w:t>
      </w:r>
      <w:r>
        <w:rPr>
          <w:rFonts w:hint="eastAsia" w:asciiTheme="minorEastAsia" w:hAnsiTheme="minorEastAsia"/>
          <w:szCs w:val="21"/>
        </w:rPr>
        <w:t>的战略定位，对组织管控模式、权责界面、授权体系、制度流程、风控体系规划、执行监督等维度进行梳理和优化，通过内部控制体系建设，完善风险控制措施，强化内部控制评价和监督，将内部控制、风险管理、合规管理工作有机结合</w:t>
      </w:r>
      <w:r>
        <w:rPr>
          <w:rFonts w:asciiTheme="minorEastAsia" w:hAnsiTheme="minorEastAsia"/>
          <w:szCs w:val="21"/>
        </w:rPr>
        <w:t>,</w:t>
      </w:r>
      <w:r>
        <w:rPr>
          <w:rFonts w:hint="eastAsia" w:asciiTheme="minorEastAsia" w:hAnsiTheme="minorEastAsia"/>
          <w:szCs w:val="21"/>
        </w:rPr>
        <w:t>建立贯穿全公司、覆盖所有重点业务和流程、适合公司发展特点、与交控集团内控体系建设要求相协调的内部控制体系，实现管理制度化、制度流程化、流程信息化的内部控制管理目标。</w:t>
      </w:r>
    </w:p>
    <w:p>
      <w:pPr>
        <w:snapToGrid w:val="0"/>
        <w:spacing w:line="400" w:lineRule="exact"/>
        <w:ind w:firstLine="420" w:firstLineChars="200"/>
        <w:rPr>
          <w:rFonts w:asciiTheme="minorEastAsia" w:hAnsiTheme="minorEastAsia"/>
          <w:b/>
          <w:szCs w:val="21"/>
        </w:rPr>
      </w:pPr>
      <w:r>
        <w:rPr>
          <w:rFonts w:hint="eastAsia" w:asciiTheme="minorEastAsia" w:hAnsiTheme="minorEastAsia"/>
          <w:b/>
          <w:szCs w:val="21"/>
        </w:rPr>
        <w:t>三、项目服务内容（包括但不限于）</w:t>
      </w:r>
    </w:p>
    <w:p>
      <w:pPr>
        <w:snapToGrid w:val="0"/>
        <w:spacing w:line="400" w:lineRule="exact"/>
        <w:ind w:firstLine="315" w:firstLineChars="150"/>
        <w:rPr>
          <w:rFonts w:asciiTheme="minorEastAsia" w:hAnsiTheme="minorEastAsia"/>
          <w:szCs w:val="21"/>
        </w:rPr>
      </w:pPr>
      <w:r>
        <w:rPr>
          <w:rFonts w:hint="eastAsia" w:asciiTheme="minorEastAsia" w:hAnsiTheme="minorEastAsia"/>
          <w:szCs w:val="21"/>
        </w:rPr>
        <w:t>下述服务对象所称“</w:t>
      </w:r>
      <w:r>
        <w:rPr>
          <w:rFonts w:hint="eastAsia" w:asciiTheme="minorEastAsia" w:hAnsiTheme="minorEastAsia"/>
          <w:szCs w:val="21"/>
          <w:lang w:eastAsia="zh-CN"/>
        </w:rPr>
        <w:t>经工集团</w:t>
      </w:r>
      <w:r>
        <w:rPr>
          <w:rFonts w:hint="eastAsia" w:asciiTheme="minorEastAsia" w:hAnsiTheme="minorEastAsia"/>
          <w:szCs w:val="21"/>
        </w:rPr>
        <w:t>”应涵盖</w:t>
      </w:r>
      <w:r>
        <w:rPr>
          <w:rFonts w:hint="eastAsia" w:asciiTheme="minorEastAsia" w:hAnsiTheme="minorEastAsia"/>
          <w:szCs w:val="21"/>
          <w:lang w:eastAsia="zh-CN"/>
        </w:rPr>
        <w:t>经工集团</w:t>
      </w:r>
      <w:r>
        <w:rPr>
          <w:rFonts w:hint="eastAsia" w:asciiTheme="minorEastAsia" w:hAnsiTheme="minorEastAsia"/>
          <w:szCs w:val="21"/>
        </w:rPr>
        <w:t>及所属子公司（不少于</w:t>
      </w:r>
      <w:r>
        <w:rPr>
          <w:rFonts w:hint="eastAsia" w:asciiTheme="minorEastAsia" w:hAnsiTheme="minorEastAsia"/>
          <w:szCs w:val="21"/>
          <w:lang w:val="en-US" w:eastAsia="zh-CN"/>
        </w:rPr>
        <w:t>5</w:t>
      </w:r>
      <w:r>
        <w:rPr>
          <w:rFonts w:hint="eastAsia" w:asciiTheme="minorEastAsia" w:hAnsiTheme="minorEastAsia"/>
          <w:szCs w:val="21"/>
        </w:rPr>
        <w:t>家），分别为</w:t>
      </w:r>
      <w:r>
        <w:rPr>
          <w:rFonts w:hint="eastAsia" w:asciiTheme="minorEastAsia" w:hAnsiTheme="minorEastAsia"/>
          <w:szCs w:val="21"/>
          <w:lang w:eastAsia="zh-CN"/>
        </w:rPr>
        <w:t>安徽省经工建设集团有限公司</w:t>
      </w:r>
      <w:r>
        <w:rPr>
          <w:rFonts w:hint="eastAsia" w:asciiTheme="minorEastAsia" w:hAnsiTheme="minorEastAsia"/>
          <w:szCs w:val="21"/>
        </w:rPr>
        <w:t>、安徽</w:t>
      </w:r>
      <w:r>
        <w:rPr>
          <w:rFonts w:hint="eastAsia" w:asciiTheme="minorEastAsia" w:hAnsiTheme="minorEastAsia"/>
          <w:szCs w:val="21"/>
          <w:lang w:val="en-US" w:eastAsia="zh-CN"/>
        </w:rPr>
        <w:t>徽道置业有限</w:t>
      </w:r>
      <w:r>
        <w:rPr>
          <w:rFonts w:hint="eastAsia" w:asciiTheme="minorEastAsia" w:hAnsiTheme="minorEastAsia"/>
          <w:szCs w:val="21"/>
        </w:rPr>
        <w:t>公司、</w:t>
      </w:r>
      <w:r>
        <w:rPr>
          <w:rFonts w:hint="eastAsia" w:asciiTheme="minorEastAsia" w:hAnsiTheme="minorEastAsia"/>
          <w:szCs w:val="21"/>
          <w:lang w:val="en-US" w:eastAsia="zh-CN"/>
        </w:rPr>
        <w:t>安徽省经工市政工程有限公司、安徽省经工装饰安装工程有限公司、</w:t>
      </w:r>
      <w:r>
        <w:rPr>
          <w:rFonts w:hint="eastAsia" w:asciiTheme="minorEastAsia" w:hAnsiTheme="minorEastAsia"/>
          <w:szCs w:val="21"/>
        </w:rPr>
        <w:t>安徽省</w:t>
      </w:r>
      <w:r>
        <w:rPr>
          <w:rFonts w:hint="eastAsia" w:asciiTheme="minorEastAsia" w:hAnsiTheme="minorEastAsia"/>
          <w:szCs w:val="21"/>
          <w:lang w:val="en-US" w:eastAsia="zh-CN"/>
        </w:rPr>
        <w:t>经工物资有限</w:t>
      </w:r>
      <w:r>
        <w:rPr>
          <w:rFonts w:hint="eastAsia" w:asciiTheme="minorEastAsia" w:hAnsiTheme="minorEastAsia"/>
          <w:szCs w:val="21"/>
        </w:rPr>
        <w:t>公司。具体如下：</w:t>
      </w:r>
    </w:p>
    <w:p>
      <w:pPr>
        <w:snapToGrid w:val="0"/>
        <w:spacing w:line="400" w:lineRule="exact"/>
        <w:ind w:firstLine="420" w:firstLineChars="200"/>
        <w:rPr>
          <w:rFonts w:asciiTheme="minorEastAsia" w:hAnsiTheme="minorEastAsia"/>
          <w:szCs w:val="21"/>
        </w:rPr>
      </w:pPr>
      <w:r>
        <w:rPr>
          <w:rFonts w:hint="eastAsia" w:asciiTheme="minorEastAsia" w:hAnsiTheme="minorEastAsia"/>
          <w:szCs w:val="21"/>
        </w:rPr>
        <w:t>（一）根据《企业内部控制基本规范》及指引等要求，结合</w:t>
      </w:r>
      <w:r>
        <w:rPr>
          <w:rFonts w:hint="eastAsia" w:asciiTheme="minorEastAsia" w:hAnsiTheme="minorEastAsia"/>
          <w:szCs w:val="21"/>
          <w:lang w:eastAsia="zh-CN"/>
        </w:rPr>
        <w:t>经工集团</w:t>
      </w:r>
      <w:r>
        <w:rPr>
          <w:rFonts w:hint="eastAsia" w:asciiTheme="minorEastAsia" w:hAnsiTheme="minorEastAsia"/>
          <w:szCs w:val="21"/>
        </w:rPr>
        <w:t>实际，审阅公司现有制度，出具审阅意见（含拟修订、增加、废止的制度清单）并在此基础上协助公司完成制度完善工作，编制新的制度汇编；</w:t>
      </w:r>
    </w:p>
    <w:p>
      <w:pPr>
        <w:snapToGrid w:val="0"/>
        <w:spacing w:line="400" w:lineRule="exact"/>
        <w:ind w:firstLine="420" w:firstLineChars="200"/>
        <w:rPr>
          <w:rFonts w:asciiTheme="minorEastAsia" w:hAnsiTheme="minorEastAsia"/>
          <w:szCs w:val="21"/>
        </w:rPr>
      </w:pPr>
      <w:r>
        <w:rPr>
          <w:rFonts w:hint="eastAsia" w:asciiTheme="minorEastAsia" w:hAnsiTheme="minorEastAsia"/>
          <w:szCs w:val="21"/>
        </w:rPr>
        <w:t>（二）根据《企业内部控制基本规范》及指引等要求，结合</w:t>
      </w:r>
      <w:r>
        <w:rPr>
          <w:rFonts w:hint="eastAsia" w:asciiTheme="minorEastAsia" w:hAnsiTheme="minorEastAsia"/>
          <w:szCs w:val="21"/>
          <w:lang w:eastAsia="zh-CN"/>
        </w:rPr>
        <w:t>经工集团</w:t>
      </w:r>
      <w:r>
        <w:rPr>
          <w:rFonts w:asciiTheme="minorEastAsia" w:hAnsiTheme="minorEastAsia"/>
          <w:szCs w:val="21"/>
        </w:rPr>
        <w:t>“</w:t>
      </w:r>
      <w:r>
        <w:rPr>
          <w:rFonts w:hint="eastAsia" w:asciiTheme="minorEastAsia" w:hAnsiTheme="minorEastAsia"/>
          <w:szCs w:val="21"/>
        </w:rPr>
        <w:t>十四五</w:t>
      </w:r>
      <w:r>
        <w:rPr>
          <w:rFonts w:asciiTheme="minorEastAsia" w:hAnsiTheme="minorEastAsia"/>
          <w:szCs w:val="21"/>
        </w:rPr>
        <w:t>”</w:t>
      </w:r>
      <w:r>
        <w:rPr>
          <w:rFonts w:hint="eastAsia" w:asciiTheme="minorEastAsia" w:hAnsiTheme="minorEastAsia"/>
          <w:szCs w:val="21"/>
        </w:rPr>
        <w:t>发展规划，提供内控体系建设咨询服务：</w:t>
      </w:r>
      <w:r>
        <w:rPr>
          <w:rFonts w:asciiTheme="minorEastAsia" w:hAnsiTheme="minorEastAsia"/>
          <w:szCs w:val="21"/>
        </w:rPr>
        <w:t>1.</w:t>
      </w:r>
      <w:r>
        <w:rPr>
          <w:rFonts w:hint="eastAsia" w:asciiTheme="minorEastAsia" w:hAnsiTheme="minorEastAsia"/>
          <w:szCs w:val="21"/>
        </w:rPr>
        <w:t>制定内控缺陷认定标准，诊断现有内控体系，设计符合公司经营发展特点的内控体系方案；</w:t>
      </w:r>
      <w:r>
        <w:rPr>
          <w:rFonts w:asciiTheme="minorEastAsia" w:hAnsiTheme="minorEastAsia"/>
          <w:szCs w:val="21"/>
        </w:rPr>
        <w:t>2.</w:t>
      </w:r>
      <w:r>
        <w:rPr>
          <w:rFonts w:hint="eastAsia" w:asciiTheme="minorEastAsia" w:hAnsiTheme="minorEastAsia"/>
          <w:szCs w:val="21"/>
        </w:rPr>
        <w:t>编制内部控制手册（包括但不限于权限指引；各业务活动流程图、合规控制点、风险点及防控措施，明确各层级控制主体、责任主体及对应制度；母子公司管控体系等）；3.编制内部控制测试模板。</w:t>
      </w:r>
    </w:p>
    <w:p>
      <w:pPr>
        <w:snapToGrid w:val="0"/>
        <w:spacing w:line="400" w:lineRule="exact"/>
        <w:ind w:firstLine="420" w:firstLineChars="200"/>
        <w:rPr>
          <w:rFonts w:asciiTheme="minorEastAsia" w:hAnsiTheme="minorEastAsia"/>
          <w:szCs w:val="21"/>
        </w:rPr>
      </w:pPr>
      <w:r>
        <w:rPr>
          <w:rFonts w:hint="eastAsia" w:asciiTheme="minorEastAsia" w:hAnsiTheme="minorEastAsia"/>
          <w:szCs w:val="21"/>
        </w:rPr>
        <w:t>（三）交控集团内控体系建设要求的其他事项；</w:t>
      </w:r>
    </w:p>
    <w:p>
      <w:pPr>
        <w:snapToGrid w:val="0"/>
        <w:spacing w:line="400" w:lineRule="exact"/>
        <w:ind w:firstLine="420" w:firstLineChars="200"/>
        <w:rPr>
          <w:rFonts w:asciiTheme="minorEastAsia" w:hAnsiTheme="minorEastAsia"/>
          <w:szCs w:val="21"/>
        </w:rPr>
      </w:pPr>
      <w:r>
        <w:rPr>
          <w:rFonts w:hint="eastAsia" w:asciiTheme="minorEastAsia" w:hAnsiTheme="minorEastAsia"/>
          <w:szCs w:val="21"/>
        </w:rPr>
        <w:t>（四）培训宣贯；</w:t>
      </w:r>
    </w:p>
    <w:p>
      <w:pPr>
        <w:snapToGrid w:val="0"/>
        <w:spacing w:line="400" w:lineRule="exact"/>
        <w:ind w:firstLine="420" w:firstLineChars="200"/>
        <w:rPr>
          <w:rFonts w:asciiTheme="minorEastAsia" w:hAnsiTheme="minorEastAsia"/>
          <w:szCs w:val="21"/>
        </w:rPr>
      </w:pPr>
      <w:r>
        <w:rPr>
          <w:rFonts w:hint="eastAsia" w:asciiTheme="minorEastAsia" w:hAnsiTheme="minorEastAsia"/>
          <w:szCs w:val="21"/>
        </w:rPr>
        <w:t>（五）后续服务：</w:t>
      </w:r>
      <w:r>
        <w:rPr>
          <w:rFonts w:hint="eastAsia" w:asciiTheme="minorEastAsia" w:hAnsiTheme="minorEastAsia"/>
          <w:szCs w:val="21"/>
          <w:highlight w:val="yellow"/>
        </w:rPr>
        <w:t>提供为期</w:t>
      </w:r>
      <w:r>
        <w:rPr>
          <w:rFonts w:asciiTheme="minorEastAsia" w:hAnsiTheme="minorEastAsia"/>
          <w:szCs w:val="21"/>
          <w:highlight w:val="yellow"/>
        </w:rPr>
        <w:t>1</w:t>
      </w:r>
      <w:r>
        <w:rPr>
          <w:rFonts w:hint="eastAsia" w:asciiTheme="minorEastAsia" w:hAnsiTheme="minorEastAsia"/>
          <w:szCs w:val="21"/>
          <w:highlight w:val="yellow"/>
        </w:rPr>
        <w:t>年的内控实施、评价及咨询的跟踪服务。</w:t>
      </w:r>
    </w:p>
    <w:p>
      <w:pPr>
        <w:snapToGrid w:val="0"/>
        <w:spacing w:line="400" w:lineRule="exact"/>
        <w:ind w:firstLine="420" w:firstLineChars="200"/>
        <w:rPr>
          <w:rFonts w:asciiTheme="minorEastAsia" w:hAnsiTheme="minorEastAsia"/>
          <w:szCs w:val="21"/>
        </w:rPr>
      </w:pPr>
      <w:r>
        <w:rPr>
          <w:rFonts w:hint="eastAsia" w:asciiTheme="minorEastAsia" w:hAnsiTheme="minorEastAsia"/>
          <w:b/>
          <w:szCs w:val="21"/>
        </w:rPr>
        <w:t>四、项目规范</w:t>
      </w:r>
    </w:p>
    <w:p>
      <w:pPr>
        <w:snapToGrid w:val="0"/>
        <w:spacing w:line="400" w:lineRule="exact"/>
        <w:ind w:firstLine="420" w:firstLineChars="200"/>
        <w:rPr>
          <w:rFonts w:asciiTheme="minorEastAsia" w:hAnsiTheme="minorEastAsia"/>
          <w:szCs w:val="21"/>
        </w:rPr>
      </w:pPr>
      <w:r>
        <w:rPr>
          <w:rFonts w:hint="eastAsia" w:asciiTheme="minorEastAsia" w:hAnsiTheme="minorEastAsia"/>
          <w:szCs w:val="21"/>
        </w:rPr>
        <w:t>项目所适用规范见下（包括但不限于，其中没有标注日期的标准，其最新版本适用于本项目）：</w:t>
      </w:r>
    </w:p>
    <w:p>
      <w:pPr>
        <w:snapToGrid w:val="0"/>
        <w:spacing w:line="400" w:lineRule="exact"/>
        <w:ind w:firstLine="420" w:firstLineChars="200"/>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《企业内部控制基本规范》及配套指引</w:t>
      </w:r>
    </w:p>
    <w:p>
      <w:pPr>
        <w:snapToGrid w:val="0"/>
        <w:spacing w:line="400" w:lineRule="exact"/>
        <w:ind w:firstLine="420" w:firstLineChars="20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《关于做好</w:t>
      </w:r>
      <w:r>
        <w:rPr>
          <w:rFonts w:asciiTheme="minorEastAsia" w:hAnsiTheme="minorEastAsia"/>
          <w:szCs w:val="21"/>
        </w:rPr>
        <w:t>2020</w:t>
      </w:r>
      <w:r>
        <w:rPr>
          <w:rFonts w:hint="eastAsia" w:asciiTheme="minorEastAsia" w:hAnsiTheme="minorEastAsia"/>
          <w:szCs w:val="21"/>
        </w:rPr>
        <w:t>年中央企业内部控制体系建设与监督工作有关事项的通知》（国资厅发监督〔</w:t>
      </w:r>
      <w:r>
        <w:rPr>
          <w:rFonts w:asciiTheme="minorEastAsia" w:hAnsiTheme="minorEastAsia"/>
          <w:szCs w:val="21"/>
        </w:rPr>
        <w:t>2019</w:t>
      </w:r>
      <w:r>
        <w:rPr>
          <w:rFonts w:hint="eastAsia" w:asciiTheme="minorEastAsia" w:hAnsiTheme="minorEastAsia"/>
          <w:szCs w:val="21"/>
        </w:rPr>
        <w:t>〕</w:t>
      </w:r>
      <w:r>
        <w:rPr>
          <w:rFonts w:asciiTheme="minorEastAsia" w:hAnsiTheme="minorEastAsia"/>
          <w:szCs w:val="21"/>
        </w:rPr>
        <w:t>44</w:t>
      </w:r>
      <w:r>
        <w:rPr>
          <w:rFonts w:hint="eastAsia" w:asciiTheme="minorEastAsia" w:hAnsiTheme="minorEastAsia"/>
          <w:szCs w:val="21"/>
        </w:rPr>
        <w:t>号）</w:t>
      </w:r>
    </w:p>
    <w:p>
      <w:pPr>
        <w:snapToGrid w:val="0"/>
        <w:spacing w:line="400" w:lineRule="exact"/>
        <w:ind w:firstLine="420" w:firstLineChars="2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《关于加强中央企业内部控制体系建设与监督工作的实施意见》（国资发监督规〔</w:t>
      </w:r>
      <w:r>
        <w:rPr>
          <w:rFonts w:asciiTheme="minorEastAsia" w:hAnsiTheme="minorEastAsia"/>
          <w:szCs w:val="21"/>
        </w:rPr>
        <w:t>2019</w:t>
      </w:r>
      <w:r>
        <w:rPr>
          <w:rFonts w:hint="eastAsia" w:asciiTheme="minorEastAsia" w:hAnsiTheme="minorEastAsia"/>
          <w:szCs w:val="21"/>
        </w:rPr>
        <w:t>〕</w:t>
      </w:r>
      <w:r>
        <w:rPr>
          <w:rFonts w:asciiTheme="minorEastAsia" w:hAnsiTheme="minorEastAsia"/>
          <w:szCs w:val="21"/>
        </w:rPr>
        <w:t>101</w:t>
      </w:r>
      <w:r>
        <w:rPr>
          <w:rFonts w:hint="eastAsia" w:asciiTheme="minorEastAsia" w:hAnsiTheme="minorEastAsia"/>
          <w:szCs w:val="21"/>
        </w:rPr>
        <w:t>号）</w:t>
      </w:r>
    </w:p>
    <w:p>
      <w:pPr>
        <w:snapToGrid w:val="0"/>
        <w:spacing w:line="400" w:lineRule="exact"/>
        <w:ind w:firstLine="420" w:firstLineChars="20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《中央企业合规管理指引》</w:t>
      </w:r>
    </w:p>
    <w:p>
      <w:pPr>
        <w:snapToGrid w:val="0"/>
        <w:spacing w:line="400" w:lineRule="exact"/>
        <w:ind w:firstLine="420" w:firstLineChars="200"/>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《中央企业全面风险管理指引》</w:t>
      </w:r>
    </w:p>
    <w:p>
      <w:pPr>
        <w:snapToGrid w:val="0"/>
        <w:spacing w:line="400" w:lineRule="exact"/>
        <w:ind w:firstLine="420" w:firstLineChars="200"/>
        <w:rPr>
          <w:rFonts w:asciiTheme="minorEastAsia" w:hAnsiTheme="minorEastAsia"/>
          <w:szCs w:val="21"/>
        </w:rPr>
      </w:pPr>
      <w:r>
        <w:rPr>
          <w:rFonts w:asciiTheme="minorEastAsia" w:hAnsiTheme="minorEastAsia"/>
          <w:szCs w:val="21"/>
        </w:rPr>
        <w:t>6.</w:t>
      </w:r>
      <w:r>
        <w:rPr>
          <w:rFonts w:hint="eastAsia" w:asciiTheme="minorEastAsia" w:hAnsiTheme="minorEastAsia"/>
          <w:szCs w:val="21"/>
        </w:rPr>
        <w:t>《关于加强安徽省省属企业内部控制体系建设与监督工作的实施意见》（皖国资监督一〔</w:t>
      </w:r>
      <w:r>
        <w:rPr>
          <w:rFonts w:asciiTheme="minorEastAsia" w:hAnsiTheme="minorEastAsia"/>
          <w:szCs w:val="21"/>
        </w:rPr>
        <w:t>2020</w:t>
      </w:r>
      <w:r>
        <w:rPr>
          <w:rFonts w:hint="eastAsia" w:asciiTheme="minorEastAsia" w:hAnsiTheme="minorEastAsia"/>
          <w:szCs w:val="21"/>
        </w:rPr>
        <w:t>〕</w:t>
      </w:r>
      <w:r>
        <w:rPr>
          <w:rFonts w:asciiTheme="minorEastAsia" w:hAnsiTheme="minorEastAsia"/>
          <w:szCs w:val="21"/>
        </w:rPr>
        <w:t>76</w:t>
      </w:r>
      <w:r>
        <w:rPr>
          <w:rFonts w:hint="eastAsia" w:asciiTheme="minorEastAsia" w:hAnsiTheme="minorEastAsia"/>
          <w:szCs w:val="21"/>
        </w:rPr>
        <w:t>号）</w:t>
      </w:r>
    </w:p>
    <w:p>
      <w:pPr>
        <w:snapToGrid w:val="0"/>
        <w:spacing w:line="400" w:lineRule="exact"/>
        <w:ind w:firstLine="420" w:firstLineChars="200"/>
        <w:rPr>
          <w:rFonts w:asciiTheme="minorEastAsia" w:hAnsiTheme="minorEastAsia"/>
          <w:szCs w:val="21"/>
        </w:rPr>
      </w:pPr>
      <w:r>
        <w:rPr>
          <w:rFonts w:hint="eastAsia" w:asciiTheme="minorEastAsia" w:hAnsiTheme="minorEastAsia"/>
          <w:szCs w:val="21"/>
        </w:rPr>
        <w:t>7</w:t>
      </w:r>
      <w:r>
        <w:rPr>
          <w:rFonts w:asciiTheme="minorEastAsia" w:hAnsiTheme="minorEastAsia"/>
          <w:szCs w:val="21"/>
        </w:rPr>
        <w:t>.</w:t>
      </w:r>
      <w:r>
        <w:rPr>
          <w:rFonts w:hint="eastAsia" w:asciiTheme="minorEastAsia" w:hAnsiTheme="minorEastAsia"/>
          <w:szCs w:val="21"/>
        </w:rPr>
        <w:t>交控集团及</w:t>
      </w:r>
      <w:r>
        <w:rPr>
          <w:rFonts w:hint="eastAsia" w:asciiTheme="minorEastAsia" w:hAnsiTheme="minorEastAsia"/>
          <w:szCs w:val="21"/>
          <w:lang w:eastAsia="zh-CN"/>
        </w:rPr>
        <w:t>经工集团</w:t>
      </w:r>
      <w:r>
        <w:rPr>
          <w:rFonts w:hint="eastAsia" w:asciiTheme="minorEastAsia" w:hAnsiTheme="minorEastAsia"/>
          <w:szCs w:val="21"/>
        </w:rPr>
        <w:t>相关制度规范要求</w:t>
      </w:r>
    </w:p>
    <w:p>
      <w:pPr>
        <w:snapToGrid w:val="0"/>
        <w:spacing w:line="400" w:lineRule="exact"/>
        <w:ind w:firstLine="420" w:firstLineChars="200"/>
        <w:rPr>
          <w:rFonts w:asciiTheme="minorEastAsia" w:hAnsiTheme="minorEastAsia"/>
          <w:b/>
          <w:szCs w:val="21"/>
        </w:rPr>
      </w:pPr>
      <w:r>
        <w:rPr>
          <w:rFonts w:hint="eastAsia" w:asciiTheme="minorEastAsia" w:hAnsiTheme="minorEastAsia"/>
          <w:b/>
          <w:szCs w:val="21"/>
        </w:rPr>
        <w:t>五、对团队人员的要求</w:t>
      </w:r>
    </w:p>
    <w:p>
      <w:pPr>
        <w:snapToGrid w:val="0"/>
        <w:spacing w:line="400" w:lineRule="exact"/>
        <w:ind w:firstLine="420" w:firstLineChars="200"/>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项目负责人必须深入了解企业内部控制、风险管理等基本原理，熟悉掌握外部法律法规并熟练应用，并能做到理论与实践结合，具有主持完成（作为项目负责人）3个（含）以上风险或内控体系建设项目经验，具有</w:t>
      </w:r>
      <w:r>
        <w:rPr>
          <w:rFonts w:asciiTheme="minorEastAsia" w:hAnsiTheme="minorEastAsia"/>
          <w:szCs w:val="21"/>
        </w:rPr>
        <w:t>CPA/CIA/CISA/CMA/CMC</w:t>
      </w:r>
      <w:r>
        <w:rPr>
          <w:rFonts w:hint="eastAsia" w:asciiTheme="minorEastAsia" w:hAnsiTheme="minorEastAsia"/>
          <w:szCs w:val="21"/>
        </w:rPr>
        <w:t>资质之一。</w:t>
      </w:r>
    </w:p>
    <w:p>
      <w:pPr>
        <w:snapToGrid w:val="0"/>
        <w:spacing w:line="400" w:lineRule="exact"/>
        <w:ind w:firstLine="420" w:firstLineChars="20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团队其他成员（不含项目负责人）不得少于</w:t>
      </w:r>
      <w:r>
        <w:rPr>
          <w:rFonts w:asciiTheme="minorEastAsia" w:hAnsiTheme="minorEastAsia"/>
          <w:szCs w:val="21"/>
        </w:rPr>
        <w:t>3</w:t>
      </w:r>
      <w:r>
        <w:rPr>
          <w:rFonts w:hint="eastAsia" w:asciiTheme="minorEastAsia" w:hAnsiTheme="minorEastAsia"/>
          <w:szCs w:val="21"/>
        </w:rPr>
        <w:t>人，应具备风险或内控体系建设项目经验。</w:t>
      </w:r>
    </w:p>
    <w:p>
      <w:pPr>
        <w:snapToGrid w:val="0"/>
        <w:spacing w:line="400" w:lineRule="exact"/>
        <w:ind w:firstLine="420" w:firstLineChars="2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团队成员应了</w:t>
      </w:r>
      <w:r>
        <w:rPr>
          <w:rFonts w:hint="eastAsia" w:asciiTheme="minorEastAsia" w:hAnsiTheme="minorEastAsia"/>
          <w:szCs w:val="21"/>
          <w:highlight w:val="yellow"/>
        </w:rPr>
        <w:t>解投资行业特点</w:t>
      </w:r>
      <w:r>
        <w:rPr>
          <w:rFonts w:hint="eastAsia" w:asciiTheme="minorEastAsia" w:hAnsiTheme="minorEastAsia"/>
          <w:szCs w:val="21"/>
        </w:rPr>
        <w:t>，未受过司法行政部门的处罚，具备较高的业务水平和综合协调能力。</w:t>
      </w:r>
    </w:p>
    <w:p>
      <w:pPr>
        <w:snapToGrid w:val="0"/>
        <w:spacing w:line="400" w:lineRule="exact"/>
        <w:ind w:firstLine="420" w:firstLineChars="20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供应商应根据采购人工作时间和要求安排驻场人员。</w:t>
      </w:r>
    </w:p>
    <w:p>
      <w:pPr>
        <w:snapToGrid w:val="0"/>
        <w:spacing w:line="400" w:lineRule="exact"/>
        <w:ind w:firstLine="420" w:firstLineChars="200"/>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供应商应严格遵守职业道德和执业纪律，维护采购人利益，服从采购人管理，做好采购人商业秘密保护工作。</w:t>
      </w:r>
    </w:p>
    <w:p>
      <w:pPr>
        <w:snapToGrid w:val="0"/>
        <w:spacing w:line="400" w:lineRule="exact"/>
        <w:ind w:firstLine="420" w:firstLineChars="200"/>
        <w:rPr>
          <w:rFonts w:asciiTheme="minorEastAsia" w:hAnsiTheme="minorEastAsia"/>
          <w:szCs w:val="21"/>
        </w:rPr>
      </w:pPr>
      <w:r>
        <w:rPr>
          <w:rFonts w:asciiTheme="minorEastAsia" w:hAnsiTheme="minorEastAsia"/>
          <w:szCs w:val="21"/>
        </w:rPr>
        <w:t>6.</w:t>
      </w:r>
      <w:r>
        <w:rPr>
          <w:rFonts w:hint="eastAsia" w:asciiTheme="minorEastAsia" w:hAnsiTheme="minorEastAsia"/>
          <w:szCs w:val="21"/>
        </w:rPr>
        <w:t>供应商确定项目组人员非经采购人许可不得随意更换，更换人员需经采购人同意。</w:t>
      </w:r>
    </w:p>
    <w:p>
      <w:pPr>
        <w:snapToGrid w:val="0"/>
        <w:spacing w:line="400" w:lineRule="exact"/>
        <w:ind w:firstLine="420" w:firstLineChars="200"/>
        <w:jc w:val="left"/>
        <w:rPr>
          <w:rFonts w:ascii="宋体" w:hAnsi="宋体" w:eastAsia="宋体"/>
          <w:b/>
          <w:sz w:val="36"/>
          <w:szCs w:val="36"/>
        </w:rPr>
      </w:pPr>
      <w:r>
        <w:rPr>
          <w:rFonts w:asciiTheme="minorEastAsia" w:hAnsiTheme="minorEastAsia"/>
          <w:szCs w:val="21"/>
        </w:rPr>
        <w:t>7.</w:t>
      </w:r>
      <w:r>
        <w:rPr>
          <w:rFonts w:hint="eastAsia" w:asciiTheme="minorEastAsia" w:hAnsiTheme="minorEastAsia"/>
          <w:szCs w:val="21"/>
        </w:rPr>
        <w:t>供应商应遵守保密义务，确保不得向任何第三方披露其在为采购人提供服务过从采购人获得的任何文件、资料及相关商业秘密。</w:t>
      </w:r>
      <w:r>
        <w:br w:type="page"/>
      </w:r>
      <w:r>
        <w:rPr>
          <w:rFonts w:hint="eastAsia" w:ascii="宋体" w:hAnsi="宋体" w:eastAsia="宋体"/>
          <w:b/>
          <w:sz w:val="36"/>
          <w:szCs w:val="36"/>
        </w:rPr>
        <w:t>第六章</w:t>
      </w:r>
      <w:bookmarkStart w:id="60" w:name="_Toc9834_WPSOffice_Level1"/>
      <w:r>
        <w:rPr>
          <w:rFonts w:hint="eastAsia" w:ascii="宋体" w:hAnsi="宋体" w:eastAsia="宋体"/>
          <w:b/>
          <w:sz w:val="36"/>
          <w:szCs w:val="36"/>
        </w:rPr>
        <w:t xml:space="preserve">  </w:t>
      </w:r>
      <w:r>
        <w:rPr>
          <w:rFonts w:hint="eastAsia" w:ascii="宋体" w:hAnsi="宋体" w:eastAsia="宋体" w:cs="宋体"/>
          <w:b/>
          <w:sz w:val="36"/>
          <w:szCs w:val="36"/>
        </w:rPr>
        <w:t>响应文件格式</w:t>
      </w:r>
      <w:bookmarkEnd w:id="60"/>
    </w:p>
    <w:p>
      <w:pPr>
        <w:pStyle w:val="3"/>
        <w:numPr>
          <w:ilvl w:val="0"/>
          <w:numId w:val="0"/>
        </w:numPr>
        <w:spacing w:before="312" w:after="312"/>
        <w:ind w:firstLine="540" w:firstLineChars="150"/>
        <w:rPr>
          <w:rFonts w:ascii="宋体" w:hAnsi="宋体" w:eastAsia="宋体" w:cs="Times New Roman"/>
        </w:rPr>
      </w:pPr>
      <w:r>
        <w:rPr>
          <w:rFonts w:ascii="宋体" w:hAnsi="宋体" w:eastAsia="宋体" w:cs="Times New Roman"/>
        </w:rPr>
        <w:br w:type="page"/>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(项目名称)合同包询比</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r>
        <w:rPr>
          <w:rFonts w:ascii="Times New Roman" w:hAnsi="Times New Roman" w:eastAsia="黑体" w:cs="Times New Roman"/>
          <w:sz w:val="50"/>
          <w:szCs w:val="50"/>
        </w:rPr>
        <w:t>响应文件</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年月日</w:t>
      </w:r>
    </w:p>
    <w:p>
      <w:pPr>
        <w:spacing w:line="440" w:lineRule="exact"/>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r>
        <w:rPr>
          <w:rFonts w:ascii="Times New Roman" w:hAnsi="Times New Roman" w:eastAsia="黑体" w:cs="Times New Roman"/>
          <w:sz w:val="28"/>
          <w:szCs w:val="28"/>
        </w:rPr>
        <w:t>目录</w:t>
      </w:r>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r>
        <w:rPr>
          <w:rFonts w:ascii="Times New Roman" w:hAnsi="Times New Roman" w:eastAsia="黑体" w:cs="Times New Roman"/>
          <w:sz w:val="24"/>
        </w:rPr>
        <w:t>一、报价函</w:t>
      </w:r>
    </w:p>
    <w:p>
      <w:pPr>
        <w:spacing w:line="440" w:lineRule="exact"/>
        <w:ind w:left="1619" w:leftChars="771"/>
        <w:rPr>
          <w:rFonts w:ascii="Times New Roman" w:hAnsi="Times New Roman" w:eastAsia="黑体" w:cs="Times New Roman"/>
          <w:sz w:val="24"/>
        </w:rPr>
      </w:pPr>
      <w:r>
        <w:rPr>
          <w:rFonts w:ascii="Times New Roman" w:hAnsi="Times New Roman" w:eastAsia="黑体" w:cs="Times New Roman"/>
          <w:sz w:val="24"/>
        </w:rPr>
        <w:t>二、法定代表人身份证明及授权委托书</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的报价清单</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四</w:t>
      </w:r>
      <w:r>
        <w:rPr>
          <w:rFonts w:ascii="Times New Roman" w:hAnsi="Times New Roman" w:eastAsia="黑体" w:cs="Times New Roman"/>
          <w:sz w:val="24"/>
        </w:rPr>
        <w:t>、</w:t>
      </w:r>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五、近年类似业绩情况</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六</w:t>
      </w:r>
      <w:r>
        <w:rPr>
          <w:rFonts w:ascii="Times New Roman" w:hAnsi="Times New Roman" w:eastAsia="黑体" w:cs="Times New Roman"/>
          <w:sz w:val="24"/>
        </w:rPr>
        <w:t>、</w:t>
      </w:r>
      <w:r>
        <w:rPr>
          <w:rFonts w:hint="eastAsia" w:ascii="Times New Roman" w:hAnsi="Times New Roman" w:eastAsia="黑体" w:cs="Times New Roman"/>
          <w:sz w:val="24"/>
        </w:rPr>
        <w:t>拟委任的主要人员</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七</w:t>
      </w:r>
      <w:r>
        <w:rPr>
          <w:rFonts w:ascii="Times New Roman" w:hAnsi="Times New Roman" w:eastAsia="黑体" w:cs="Times New Roman"/>
          <w:sz w:val="24"/>
        </w:rPr>
        <w:t>、</w:t>
      </w:r>
      <w:r>
        <w:rPr>
          <w:rFonts w:hint="eastAsia" w:ascii="Times New Roman" w:hAnsi="Times New Roman" w:eastAsia="黑体" w:cs="Times New Roman"/>
          <w:sz w:val="24"/>
        </w:rPr>
        <w:t>信誉情况</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八</w:t>
      </w:r>
      <w:r>
        <w:rPr>
          <w:rFonts w:ascii="Times New Roman" w:hAnsi="Times New Roman" w:eastAsia="黑体" w:cs="Times New Roman"/>
          <w:sz w:val="24"/>
        </w:rPr>
        <w:t>、</w:t>
      </w:r>
      <w:r>
        <w:rPr>
          <w:rFonts w:hint="eastAsia" w:ascii="Times New Roman" w:hAnsi="Times New Roman" w:eastAsia="黑体" w:cs="Times New Roman"/>
          <w:sz w:val="24"/>
        </w:rPr>
        <w:t>服务方案</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九、其他材料</w:t>
      </w: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r>
        <w:rPr>
          <w:rFonts w:ascii="Times New Roman" w:hAnsi="Times New Roman" w:eastAsia="黑体" w:cs="Times New Roman"/>
          <w:sz w:val="28"/>
          <w:szCs w:val="28"/>
        </w:rPr>
        <w:t>一、报价函</w:t>
      </w:r>
    </w:p>
    <w:p>
      <w:pPr>
        <w:spacing w:line="440" w:lineRule="exact"/>
        <w:rPr>
          <w:rFonts w:ascii="Times New Roman" w:hAnsi="Times New Roman" w:cs="Times New Roman"/>
          <w:sz w:val="24"/>
        </w:rPr>
      </w:pP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(项目名称)合同包询比文件的全部内容(含补遗书第__号至第__号)，愿意以人民币(大写</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)的总报价，</w:t>
      </w:r>
      <w:r>
        <w:rPr>
          <w:rFonts w:hint="eastAsia" w:ascii="Times New Roman" w:hAnsi="Times New Roman" w:cs="Times New Roman"/>
          <w:sz w:val="24"/>
        </w:rPr>
        <w:t>服务期</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，按合同约定实施和完成相关服务，质量目标达到</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，安全目标达到</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4．我方在此声明，所递交的响应文件及有关资料内容完整、真实和准确。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5．在合同协议书正式签署生效之前，本报价函连同你方的成交通知书将构成我们双方之间共同遵守的文件，对双方具有约束力。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6．我方理解，你方不一定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7.____________。</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p>
    <w:p>
      <w:pPr>
        <w:spacing w:line="400" w:lineRule="exact"/>
        <w:ind w:firstLine="4740" w:firstLineChars="1975"/>
        <w:rPr>
          <w:rFonts w:ascii="Times New Roman" w:hAnsi="Times New Roman" w:cs="Times New Roman"/>
          <w:sz w:val="24"/>
        </w:rPr>
      </w:pPr>
      <w:r>
        <w:rPr>
          <w:rFonts w:ascii="Times New Roman" w:hAnsi="Times New Roman" w:cs="Times New Roman"/>
          <w:sz w:val="24"/>
        </w:rPr>
        <w:t>年月日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二、法定代表人身份证明及授权委托书</w:t>
      </w:r>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r>
        <w:rPr>
          <w:rFonts w:ascii="Times New Roman" w:hAnsi="Times New Roman" w:eastAsia="黑体" w:cs="Times New Roman"/>
          <w:bCs/>
          <w:sz w:val="28"/>
          <w:szCs w:val="28"/>
        </w:rPr>
        <w:t>2-1 法定代表人身份证明</w:t>
      </w:r>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p>
    <w:p>
      <w:pPr>
        <w:spacing w:line="440" w:lineRule="exact"/>
        <w:rPr>
          <w:rFonts w:ascii="Times New Roman" w:hAnsi="Times New Roman" w:cs="Times New Roman"/>
          <w:sz w:val="24"/>
        </w:rPr>
      </w:pPr>
      <w:r>
        <w:rPr>
          <w:rFonts w:ascii="Times New Roman" w:hAnsi="Times New Roman" w:cs="Times New Roman"/>
          <w:sz w:val="24"/>
        </w:rPr>
        <w:t>单位性质：</w:t>
      </w:r>
    </w:p>
    <w:p>
      <w:pPr>
        <w:spacing w:line="440" w:lineRule="exact"/>
        <w:rPr>
          <w:rFonts w:ascii="Times New Roman" w:hAnsi="Times New Roman" w:cs="Times New Roman"/>
          <w:sz w:val="24"/>
        </w:rPr>
      </w:pPr>
      <w:r>
        <w:rPr>
          <w:rFonts w:ascii="Times New Roman" w:hAnsi="Times New Roman" w:cs="Times New Roman"/>
          <w:sz w:val="24"/>
        </w:rPr>
        <w:t>地址：</w:t>
      </w:r>
    </w:p>
    <w:p>
      <w:pPr>
        <w:spacing w:line="440" w:lineRule="exact"/>
        <w:rPr>
          <w:rFonts w:ascii="Times New Roman" w:hAnsi="Times New Roman" w:cs="Times New Roman"/>
          <w:sz w:val="24"/>
        </w:rPr>
      </w:pPr>
      <w:r>
        <w:rPr>
          <w:rFonts w:ascii="Times New Roman" w:hAnsi="Times New Roman" w:cs="Times New Roman"/>
          <w:sz w:val="24"/>
        </w:rPr>
        <w:t>成立时间：年月日</w:t>
      </w:r>
    </w:p>
    <w:p>
      <w:pPr>
        <w:spacing w:line="440" w:lineRule="exact"/>
        <w:rPr>
          <w:rFonts w:ascii="Times New Roman" w:hAnsi="Times New Roman" w:cs="Times New Roman"/>
          <w:sz w:val="24"/>
        </w:rPr>
      </w:pPr>
      <w:r>
        <w:rPr>
          <w:rFonts w:ascii="Times New Roman" w:hAnsi="Times New Roman" w:cs="Times New Roman"/>
          <w:sz w:val="24"/>
        </w:rPr>
        <w:t>经营期限：</w:t>
      </w:r>
    </w:p>
    <w:p>
      <w:pPr>
        <w:spacing w:line="440" w:lineRule="exact"/>
        <w:rPr>
          <w:rFonts w:ascii="Times New Roman" w:hAnsi="Times New Roman" w:cs="Times New Roman"/>
          <w:sz w:val="24"/>
        </w:rPr>
      </w:pPr>
      <w:r>
        <w:rPr>
          <w:rFonts w:ascii="Times New Roman" w:hAnsi="Times New Roman" w:cs="Times New Roman"/>
          <w:sz w:val="24"/>
        </w:rPr>
        <w:t>姓名：性别：年龄：职务：</w:t>
      </w:r>
    </w:p>
    <w:p>
      <w:pPr>
        <w:spacing w:line="440" w:lineRule="exact"/>
        <w:rPr>
          <w:rFonts w:ascii="Times New Roman" w:hAnsi="Times New Roman" w:cs="Times New Roman"/>
          <w:sz w:val="24"/>
        </w:rPr>
      </w:pPr>
      <w:r>
        <w:rPr>
          <w:rFonts w:ascii="Times New Roman" w:hAnsi="Times New Roman" w:cs="Times New Roman"/>
          <w:sz w:val="24"/>
        </w:rPr>
        <w:t>系</w:t>
      </w:r>
      <w:r>
        <w:rPr>
          <w:rFonts w:hint="eastAsia" w:ascii="Times New Roman" w:hAnsi="Times New Roman" w:cs="Times New Roman"/>
          <w:sz w:val="24"/>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r>
        <w:rPr>
          <w:rFonts w:ascii="Times New Roman" w:hAnsi="Times New Roman" w:cs="Times New Roman"/>
          <w:sz w:val="24"/>
        </w:rPr>
        <w:t>年月日</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hint="eastAsia" w:ascii="Times New Roman" w:hAnsi="Times New Roman" w:cs="Times New Roman"/>
          <w:sz w:val="24"/>
        </w:rPr>
        <w:t xml:space="preserve"> </w:t>
      </w:r>
      <w:r>
        <w:rPr>
          <w:rFonts w:ascii="Times New Roman" w:hAnsi="Times New Roman" w:cs="Times New Roman"/>
          <w:sz w:val="24"/>
        </w:rPr>
        <w:t xml:space="preserve">   (姓名)系</w:t>
      </w:r>
      <w:r>
        <w:rPr>
          <w:rFonts w:hint="eastAsia" w:ascii="Times New Roman" w:hAnsi="Times New Roman" w:cs="Times New Roman"/>
          <w:sz w:val="24"/>
        </w:rPr>
        <w:t xml:space="preserve"> </w:t>
      </w:r>
      <w:r>
        <w:rPr>
          <w:rFonts w:ascii="Times New Roman" w:hAnsi="Times New Roman" w:cs="Times New Roman"/>
          <w:sz w:val="24"/>
        </w:rPr>
        <w:t xml:space="preserve">   (供应商名称)的法定代表人，现委托</w:t>
      </w:r>
      <w:r>
        <w:rPr>
          <w:rFonts w:hint="eastAsia" w:ascii="Times New Roman" w:hAnsi="Times New Roman" w:cs="Times New Roman"/>
          <w:sz w:val="24"/>
        </w:rPr>
        <w:t xml:space="preserve"> </w:t>
      </w:r>
      <w:r>
        <w:rPr>
          <w:rFonts w:ascii="Times New Roman" w:hAnsi="Times New Roman" w:cs="Times New Roman"/>
          <w:sz w:val="24"/>
        </w:rPr>
        <w:t xml:space="preserve">   (姓名)为我方代理人。代理人根据授权，以我方名义签署、澄清、说明、补正、递交、撤回、修改</w:t>
      </w:r>
      <w:r>
        <w:rPr>
          <w:rFonts w:hint="eastAsia" w:ascii="Times New Roman" w:hAnsi="Times New Roman" w:cs="Times New Roman"/>
          <w:sz w:val="24"/>
        </w:rPr>
        <w:t xml:space="preserve"> </w:t>
      </w:r>
      <w:r>
        <w:rPr>
          <w:rFonts w:ascii="Times New Roman" w:hAnsi="Times New Roman" w:cs="Times New Roman"/>
          <w:sz w:val="24"/>
        </w:rPr>
        <w:t xml:space="preserve">   (项目名称)合同包响应文件、签订合同和处理有关事宜，其法律后果由我方承担。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签章</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jc w:val="right"/>
        <w:rPr>
          <w:rFonts w:ascii="Times New Roman" w:hAnsi="Times New Roman" w:eastAsia="黑体" w:cs="Times New Roman"/>
          <w:sz w:val="24"/>
        </w:rPr>
      </w:pPr>
      <w:r>
        <w:rPr>
          <w:rFonts w:ascii="Times New Roman" w:hAnsi="Times New Roman" w:cs="Times New Roman"/>
          <w:sz w:val="24"/>
        </w:rPr>
        <w:t>年</w:t>
      </w:r>
      <w:r>
        <w:rPr>
          <w:rFonts w:hint="eastAsia" w:ascii="Times New Roman" w:hAnsi="Times New Roman" w:cs="Times New Roman"/>
          <w:sz w:val="24"/>
        </w:rPr>
        <w:t xml:space="preserve">   </w:t>
      </w:r>
      <w:r>
        <w:rPr>
          <w:rFonts w:ascii="Times New Roman" w:hAnsi="Times New Roman" w:cs="Times New Roman"/>
          <w:sz w:val="24"/>
        </w:rPr>
        <w:t>月</w:t>
      </w:r>
      <w:r>
        <w:rPr>
          <w:rFonts w:hint="eastAsia" w:ascii="Times New Roman" w:hAnsi="Times New Roman" w:cs="Times New Roman"/>
          <w:sz w:val="24"/>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的报价清单</w:t>
      </w:r>
    </w:p>
    <w:p>
      <w:pPr>
        <w:spacing w:line="440" w:lineRule="exact"/>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rPr>
          <w:rFonts w:ascii="Times New Roman" w:hAnsi="Times New Roman" w:eastAsia="黑体" w:cs="Times New Roman"/>
          <w:sz w:val="24"/>
        </w:rPr>
        <w:sectPr>
          <w:footerReference r:id="rId5" w:type="default"/>
          <w:footnotePr>
            <w:numFmt w:val="decimalEnclosedCircleChinese"/>
          </w:footnotePr>
          <w:pgSz w:w="11906" w:h="16838"/>
          <w:pgMar w:top="1440" w:right="1797" w:bottom="1440" w:left="1797" w:header="851" w:footer="992" w:gutter="0"/>
          <w:cols w:space="720" w:num="1"/>
          <w:docGrid w:type="linesAndChars" w:linePitch="312" w:charSpace="0"/>
        </w:sectPr>
      </w:pPr>
    </w:p>
    <w:p>
      <w:pPr>
        <w:topLinePunct/>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四</w:t>
      </w:r>
      <w:r>
        <w:rPr>
          <w:rFonts w:ascii="Times New Roman" w:hAnsi="Times New Roman" w:eastAsia="黑体" w:cs="Times New Roman"/>
          <w:sz w:val="28"/>
          <w:szCs w:val="28"/>
        </w:rPr>
        <w:t>、供应商基本情况</w:t>
      </w:r>
    </w:p>
    <w:p>
      <w:pPr>
        <w:topLinePunct/>
        <w:spacing w:line="440" w:lineRule="exact"/>
        <w:jc w:val="center"/>
        <w:rPr>
          <w:rFonts w:ascii="Times New Roman" w:hAnsi="Times New Roman" w:cs="Times New Roman"/>
          <w:sz w:val="23"/>
          <w:szCs w:val="23"/>
        </w:rPr>
      </w:pPr>
    </w:p>
    <w:tbl>
      <w:tblPr>
        <w:tblStyle w:val="24"/>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10"/>
        <w:spacing w:line="240" w:lineRule="atLeast"/>
        <w:ind w:left="560" w:leftChars="0" w:right="-512" w:rightChars="-244" w:hanging="560" w:hangingChars="200"/>
        <w:jc w:val="center"/>
        <w:rPr>
          <w:rFonts w:ascii="Times New Roman" w:hAnsi="Times New Roman" w:cs="Times New Roman"/>
          <w:sz w:val="28"/>
          <w:szCs w:val="28"/>
        </w:rPr>
      </w:pPr>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984"/>
        <w:gridCol w:w="2146"/>
        <w:gridCol w:w="176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480" w:type="pct"/>
            <w:shd w:val="clear" w:color="auto" w:fill="FFFFFF" w:themeFill="background1"/>
            <w:vAlign w:val="center"/>
          </w:tcPr>
          <w:p>
            <w:pPr>
              <w:rPr>
                <w:rFonts w:ascii="黑体" w:hAnsi="黑体" w:eastAsia="黑体"/>
                <w:b/>
                <w:sz w:val="24"/>
              </w:rPr>
            </w:pPr>
            <w:r>
              <w:rPr>
                <w:rFonts w:ascii="黑体" w:hAnsi="黑体" w:eastAsia="黑体"/>
                <w:b/>
                <w:sz w:val="24"/>
              </w:rPr>
              <w:t>序号</w:t>
            </w:r>
          </w:p>
        </w:tc>
        <w:tc>
          <w:tcPr>
            <w:tcW w:w="1163" w:type="pct"/>
            <w:shd w:val="clear" w:color="auto" w:fill="FFFFFF" w:themeFill="background1"/>
            <w:vAlign w:val="center"/>
          </w:tcPr>
          <w:p>
            <w:pPr>
              <w:rPr>
                <w:rFonts w:ascii="黑体" w:hAnsi="黑体" w:eastAsia="黑体"/>
                <w:b/>
                <w:sz w:val="24"/>
              </w:rPr>
            </w:pPr>
            <w:r>
              <w:rPr>
                <w:rFonts w:ascii="黑体" w:hAnsi="黑体" w:eastAsia="黑体"/>
                <w:b/>
                <w:sz w:val="24"/>
              </w:rPr>
              <w:t>项目名称</w:t>
            </w:r>
          </w:p>
        </w:tc>
        <w:tc>
          <w:tcPr>
            <w:tcW w:w="1258" w:type="pct"/>
            <w:shd w:val="clear" w:color="auto" w:fill="FFFFFF" w:themeFill="background1"/>
            <w:vAlign w:val="center"/>
          </w:tcPr>
          <w:p>
            <w:pPr>
              <w:rPr>
                <w:rFonts w:ascii="黑体" w:hAnsi="黑体" w:eastAsia="黑体"/>
                <w:b/>
                <w:sz w:val="24"/>
              </w:rPr>
            </w:pPr>
            <w:r>
              <w:rPr>
                <w:rFonts w:ascii="黑体" w:hAnsi="黑体" w:eastAsia="黑体"/>
                <w:b/>
                <w:sz w:val="24"/>
              </w:rPr>
              <w:t>用户名称</w:t>
            </w:r>
          </w:p>
        </w:tc>
        <w:tc>
          <w:tcPr>
            <w:tcW w:w="1035" w:type="pct"/>
            <w:shd w:val="clear" w:color="auto" w:fill="FFFFFF" w:themeFill="background1"/>
            <w:vAlign w:val="center"/>
          </w:tcPr>
          <w:p>
            <w:pPr>
              <w:rPr>
                <w:rFonts w:ascii="黑体" w:hAnsi="黑体" w:eastAsia="黑体"/>
                <w:b/>
                <w:sz w:val="24"/>
              </w:rPr>
            </w:pPr>
            <w:r>
              <w:rPr>
                <w:rFonts w:ascii="黑体" w:hAnsi="黑体" w:eastAsia="黑体"/>
                <w:b/>
                <w:sz w:val="24"/>
              </w:rPr>
              <w:t>合同金额</w:t>
            </w:r>
          </w:p>
        </w:tc>
        <w:tc>
          <w:tcPr>
            <w:tcW w:w="1064" w:type="pct"/>
            <w:shd w:val="clear" w:color="auto" w:fill="FFFFFF" w:themeFill="background1"/>
            <w:vAlign w:val="center"/>
          </w:tcPr>
          <w:p>
            <w:pPr>
              <w:jc w:val="center"/>
              <w:rPr>
                <w:rFonts w:ascii="黑体" w:hAnsi="黑体" w:eastAsia="黑体"/>
                <w:b/>
                <w:sz w:val="24"/>
              </w:rPr>
            </w:pPr>
            <w:r>
              <w:rPr>
                <w:rFonts w:ascii="黑体" w:hAnsi="黑体" w:eastAsia="黑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jc w:val="center"/>
              <w:rPr>
                <w:rFonts w:ascii="黑体" w:hAnsi="黑体" w:eastAsia="黑体"/>
                <w:sz w:val="24"/>
              </w:rPr>
            </w:pPr>
            <w:r>
              <w:rPr>
                <w:rFonts w:hint="eastAsia" w:ascii="黑体" w:hAnsi="黑体" w:eastAsia="黑体"/>
                <w:sz w:val="24"/>
              </w:rPr>
              <w:t>1</w:t>
            </w:r>
          </w:p>
        </w:tc>
        <w:tc>
          <w:tcPr>
            <w:tcW w:w="1163" w:type="pct"/>
          </w:tcPr>
          <w:p>
            <w:pPr>
              <w:jc w:val="left"/>
              <w:rPr>
                <w:rFonts w:ascii="黑体" w:hAnsi="黑体" w:eastAsia="黑体" w:cs="Arial"/>
                <w:color w:val="000000"/>
                <w:kern w:val="24"/>
                <w:sz w:val="24"/>
              </w:rPr>
            </w:pPr>
          </w:p>
        </w:tc>
        <w:tc>
          <w:tcPr>
            <w:tcW w:w="1258" w:type="pct"/>
          </w:tcPr>
          <w:p>
            <w:pPr>
              <w:jc w:val="left"/>
              <w:rPr>
                <w:rFonts w:ascii="黑体" w:hAnsi="黑体" w:eastAsia="黑体"/>
                <w:sz w:val="24"/>
              </w:rPr>
            </w:pPr>
          </w:p>
        </w:tc>
        <w:tc>
          <w:tcPr>
            <w:tcW w:w="1035" w:type="pct"/>
          </w:tcPr>
          <w:p>
            <w:pPr>
              <w:jc w:val="left"/>
              <w:rPr>
                <w:rFonts w:ascii="黑体" w:hAnsi="黑体" w:eastAsia="黑体"/>
                <w:sz w:val="24"/>
              </w:rPr>
            </w:pPr>
          </w:p>
        </w:tc>
        <w:tc>
          <w:tcPr>
            <w:tcW w:w="1064"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jc w:val="center"/>
              <w:rPr>
                <w:rFonts w:ascii="黑体" w:hAnsi="黑体" w:eastAsia="黑体"/>
                <w:sz w:val="24"/>
              </w:rPr>
            </w:pPr>
            <w:r>
              <w:rPr>
                <w:rFonts w:ascii="黑体" w:hAnsi="黑体" w:eastAsia="黑体"/>
                <w:sz w:val="24"/>
              </w:rPr>
              <w:t>2</w:t>
            </w:r>
          </w:p>
        </w:tc>
        <w:tc>
          <w:tcPr>
            <w:tcW w:w="1163" w:type="pct"/>
          </w:tcPr>
          <w:p>
            <w:pPr>
              <w:jc w:val="left"/>
              <w:rPr>
                <w:rFonts w:ascii="黑体" w:hAnsi="黑体" w:eastAsia="黑体"/>
                <w:sz w:val="24"/>
              </w:rPr>
            </w:pPr>
          </w:p>
        </w:tc>
        <w:tc>
          <w:tcPr>
            <w:tcW w:w="1258" w:type="pct"/>
          </w:tcPr>
          <w:p>
            <w:pPr>
              <w:jc w:val="left"/>
              <w:rPr>
                <w:rFonts w:ascii="黑体" w:hAnsi="黑体" w:eastAsia="黑体"/>
                <w:sz w:val="24"/>
              </w:rPr>
            </w:pPr>
          </w:p>
        </w:tc>
        <w:tc>
          <w:tcPr>
            <w:tcW w:w="1035" w:type="pct"/>
          </w:tcPr>
          <w:p>
            <w:pPr>
              <w:jc w:val="left"/>
              <w:rPr>
                <w:rFonts w:ascii="黑体" w:hAnsi="黑体" w:eastAsia="黑体"/>
                <w:sz w:val="24"/>
              </w:rPr>
            </w:pPr>
          </w:p>
        </w:tc>
        <w:tc>
          <w:tcPr>
            <w:tcW w:w="1064"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jc w:val="center"/>
              <w:rPr>
                <w:rFonts w:ascii="黑体" w:hAnsi="黑体" w:eastAsia="黑体"/>
                <w:sz w:val="24"/>
              </w:rPr>
            </w:pPr>
            <w:r>
              <w:rPr>
                <w:rFonts w:ascii="黑体" w:hAnsi="黑体" w:eastAsia="黑体"/>
                <w:sz w:val="24"/>
              </w:rPr>
              <w:t>3</w:t>
            </w:r>
          </w:p>
        </w:tc>
        <w:tc>
          <w:tcPr>
            <w:tcW w:w="1163" w:type="pct"/>
          </w:tcPr>
          <w:p>
            <w:pPr>
              <w:jc w:val="left"/>
              <w:rPr>
                <w:rFonts w:ascii="黑体" w:hAnsi="黑体" w:eastAsia="黑体"/>
                <w:sz w:val="24"/>
              </w:rPr>
            </w:pPr>
          </w:p>
        </w:tc>
        <w:tc>
          <w:tcPr>
            <w:tcW w:w="1258" w:type="pct"/>
            <w:vAlign w:val="center"/>
          </w:tcPr>
          <w:p>
            <w:pPr>
              <w:jc w:val="left"/>
              <w:rPr>
                <w:rFonts w:ascii="黑体" w:hAnsi="黑体" w:eastAsia="黑体"/>
                <w:sz w:val="24"/>
              </w:rPr>
            </w:pPr>
          </w:p>
        </w:tc>
        <w:tc>
          <w:tcPr>
            <w:tcW w:w="1035" w:type="pct"/>
            <w:vAlign w:val="center"/>
          </w:tcPr>
          <w:p>
            <w:pPr>
              <w:jc w:val="left"/>
              <w:rPr>
                <w:rFonts w:ascii="黑体" w:hAnsi="黑体" w:eastAsia="黑体"/>
                <w:sz w:val="24"/>
              </w:rPr>
            </w:pPr>
          </w:p>
        </w:tc>
        <w:tc>
          <w:tcPr>
            <w:tcW w:w="1064"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jc w:val="center"/>
              <w:rPr>
                <w:rFonts w:ascii="黑体" w:hAnsi="黑体" w:eastAsia="黑体"/>
                <w:sz w:val="24"/>
              </w:rPr>
            </w:pPr>
            <w:r>
              <w:rPr>
                <w:rFonts w:hint="eastAsia" w:ascii="黑体" w:hAnsi="黑体" w:eastAsia="黑体"/>
                <w:sz w:val="24"/>
              </w:rPr>
              <w:t>4</w:t>
            </w:r>
          </w:p>
        </w:tc>
        <w:tc>
          <w:tcPr>
            <w:tcW w:w="1163" w:type="pct"/>
          </w:tcPr>
          <w:p>
            <w:pPr>
              <w:jc w:val="left"/>
              <w:rPr>
                <w:rFonts w:ascii="黑体" w:hAnsi="黑体" w:eastAsia="黑体"/>
                <w:sz w:val="24"/>
              </w:rPr>
            </w:pPr>
          </w:p>
        </w:tc>
        <w:tc>
          <w:tcPr>
            <w:tcW w:w="1258" w:type="pct"/>
            <w:vAlign w:val="center"/>
          </w:tcPr>
          <w:p>
            <w:pPr>
              <w:jc w:val="left"/>
              <w:rPr>
                <w:rFonts w:ascii="黑体" w:hAnsi="黑体" w:eastAsia="黑体"/>
                <w:sz w:val="24"/>
              </w:rPr>
            </w:pPr>
          </w:p>
        </w:tc>
        <w:tc>
          <w:tcPr>
            <w:tcW w:w="1035" w:type="pct"/>
            <w:vAlign w:val="center"/>
          </w:tcPr>
          <w:p>
            <w:pPr>
              <w:jc w:val="left"/>
              <w:rPr>
                <w:rFonts w:ascii="黑体" w:hAnsi="黑体" w:eastAsia="黑体"/>
                <w:sz w:val="24"/>
              </w:rPr>
            </w:pPr>
          </w:p>
        </w:tc>
        <w:tc>
          <w:tcPr>
            <w:tcW w:w="1064"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jc w:val="center"/>
              <w:rPr>
                <w:rFonts w:ascii="黑体" w:hAnsi="黑体" w:eastAsia="黑体"/>
                <w:sz w:val="24"/>
              </w:rPr>
            </w:pPr>
            <w:r>
              <w:rPr>
                <w:rFonts w:hint="eastAsia" w:ascii="黑体" w:hAnsi="黑体" w:eastAsia="黑体"/>
                <w:sz w:val="24"/>
              </w:rPr>
              <w:t>5</w:t>
            </w:r>
          </w:p>
        </w:tc>
        <w:tc>
          <w:tcPr>
            <w:tcW w:w="1163" w:type="pct"/>
          </w:tcPr>
          <w:p>
            <w:pPr>
              <w:jc w:val="left"/>
              <w:rPr>
                <w:rFonts w:ascii="黑体" w:hAnsi="黑体" w:eastAsia="黑体"/>
                <w:sz w:val="24"/>
              </w:rPr>
            </w:pPr>
          </w:p>
        </w:tc>
        <w:tc>
          <w:tcPr>
            <w:tcW w:w="1258" w:type="pct"/>
            <w:vAlign w:val="center"/>
          </w:tcPr>
          <w:p>
            <w:pPr>
              <w:jc w:val="left"/>
              <w:rPr>
                <w:rFonts w:ascii="黑体" w:hAnsi="黑体" w:eastAsia="黑体"/>
                <w:sz w:val="24"/>
              </w:rPr>
            </w:pPr>
          </w:p>
        </w:tc>
        <w:tc>
          <w:tcPr>
            <w:tcW w:w="1035" w:type="pct"/>
            <w:vAlign w:val="center"/>
          </w:tcPr>
          <w:p>
            <w:pPr>
              <w:jc w:val="left"/>
              <w:rPr>
                <w:rFonts w:ascii="黑体" w:hAnsi="黑体" w:eastAsia="黑体"/>
                <w:sz w:val="24"/>
              </w:rPr>
            </w:pPr>
          </w:p>
        </w:tc>
        <w:tc>
          <w:tcPr>
            <w:tcW w:w="1064"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jc w:val="center"/>
              <w:rPr>
                <w:rFonts w:ascii="黑体" w:hAnsi="黑体" w:eastAsia="黑体"/>
                <w:sz w:val="24"/>
              </w:rPr>
            </w:pPr>
            <w:r>
              <w:rPr>
                <w:rFonts w:hint="eastAsia" w:ascii="黑体" w:hAnsi="黑体" w:eastAsia="黑体"/>
                <w:sz w:val="24"/>
              </w:rPr>
              <w:t>6</w:t>
            </w:r>
          </w:p>
        </w:tc>
        <w:tc>
          <w:tcPr>
            <w:tcW w:w="1163" w:type="pct"/>
          </w:tcPr>
          <w:p>
            <w:pPr>
              <w:jc w:val="left"/>
              <w:rPr>
                <w:rFonts w:ascii="黑体" w:hAnsi="黑体" w:eastAsia="黑体"/>
                <w:sz w:val="24"/>
              </w:rPr>
            </w:pPr>
          </w:p>
        </w:tc>
        <w:tc>
          <w:tcPr>
            <w:tcW w:w="1258" w:type="pct"/>
            <w:vAlign w:val="center"/>
          </w:tcPr>
          <w:p>
            <w:pPr>
              <w:jc w:val="left"/>
              <w:rPr>
                <w:rFonts w:ascii="黑体" w:hAnsi="黑体" w:eastAsia="黑体"/>
                <w:sz w:val="24"/>
              </w:rPr>
            </w:pPr>
          </w:p>
        </w:tc>
        <w:tc>
          <w:tcPr>
            <w:tcW w:w="1035" w:type="pct"/>
            <w:vAlign w:val="center"/>
          </w:tcPr>
          <w:p>
            <w:pPr>
              <w:jc w:val="left"/>
              <w:rPr>
                <w:rFonts w:ascii="黑体" w:hAnsi="黑体" w:eastAsia="黑体"/>
                <w:sz w:val="24"/>
              </w:rPr>
            </w:pPr>
          </w:p>
        </w:tc>
        <w:tc>
          <w:tcPr>
            <w:tcW w:w="1064"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jc w:val="center"/>
              <w:rPr>
                <w:rFonts w:ascii="黑体" w:hAnsi="黑体" w:eastAsia="黑体"/>
                <w:sz w:val="24"/>
              </w:rPr>
            </w:pPr>
            <w:r>
              <w:rPr>
                <w:rFonts w:hint="eastAsia" w:ascii="黑体" w:hAnsi="黑体" w:eastAsia="黑体"/>
                <w:sz w:val="24"/>
              </w:rPr>
              <w:t>7</w:t>
            </w:r>
          </w:p>
        </w:tc>
        <w:tc>
          <w:tcPr>
            <w:tcW w:w="1163" w:type="pct"/>
          </w:tcPr>
          <w:p>
            <w:pPr>
              <w:jc w:val="left"/>
              <w:rPr>
                <w:rFonts w:ascii="黑体" w:hAnsi="黑体" w:eastAsia="黑体"/>
                <w:sz w:val="24"/>
              </w:rPr>
            </w:pPr>
          </w:p>
        </w:tc>
        <w:tc>
          <w:tcPr>
            <w:tcW w:w="1258" w:type="pct"/>
            <w:vAlign w:val="center"/>
          </w:tcPr>
          <w:p>
            <w:pPr>
              <w:jc w:val="left"/>
              <w:rPr>
                <w:rFonts w:ascii="黑体" w:hAnsi="黑体" w:eastAsia="黑体"/>
                <w:sz w:val="24"/>
              </w:rPr>
            </w:pPr>
          </w:p>
        </w:tc>
        <w:tc>
          <w:tcPr>
            <w:tcW w:w="1035" w:type="pct"/>
            <w:vAlign w:val="center"/>
          </w:tcPr>
          <w:p>
            <w:pPr>
              <w:jc w:val="left"/>
              <w:rPr>
                <w:rFonts w:ascii="黑体" w:hAnsi="黑体" w:eastAsia="黑体"/>
                <w:sz w:val="24"/>
              </w:rPr>
            </w:pPr>
          </w:p>
        </w:tc>
        <w:tc>
          <w:tcPr>
            <w:tcW w:w="1064"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jc w:val="center"/>
              <w:rPr>
                <w:rFonts w:ascii="黑体" w:hAnsi="黑体" w:eastAsia="黑体"/>
                <w:sz w:val="24"/>
              </w:rPr>
            </w:pPr>
            <w:r>
              <w:rPr>
                <w:rFonts w:hint="eastAsia" w:ascii="黑体" w:hAnsi="黑体" w:eastAsia="黑体"/>
                <w:sz w:val="24"/>
              </w:rPr>
              <w:t>8</w:t>
            </w:r>
          </w:p>
        </w:tc>
        <w:tc>
          <w:tcPr>
            <w:tcW w:w="1163" w:type="pct"/>
          </w:tcPr>
          <w:p>
            <w:pPr>
              <w:jc w:val="left"/>
              <w:rPr>
                <w:rFonts w:ascii="黑体" w:hAnsi="黑体" w:eastAsia="黑体"/>
                <w:sz w:val="24"/>
              </w:rPr>
            </w:pPr>
          </w:p>
        </w:tc>
        <w:tc>
          <w:tcPr>
            <w:tcW w:w="1258" w:type="pct"/>
            <w:vAlign w:val="center"/>
          </w:tcPr>
          <w:p>
            <w:pPr>
              <w:jc w:val="left"/>
              <w:rPr>
                <w:rFonts w:ascii="黑体" w:hAnsi="黑体" w:eastAsia="黑体"/>
                <w:sz w:val="24"/>
              </w:rPr>
            </w:pPr>
          </w:p>
        </w:tc>
        <w:tc>
          <w:tcPr>
            <w:tcW w:w="1035" w:type="pct"/>
            <w:vAlign w:val="center"/>
          </w:tcPr>
          <w:p>
            <w:pPr>
              <w:jc w:val="left"/>
              <w:rPr>
                <w:rFonts w:ascii="黑体" w:hAnsi="黑体" w:eastAsia="黑体"/>
                <w:sz w:val="24"/>
              </w:rPr>
            </w:pPr>
          </w:p>
        </w:tc>
        <w:tc>
          <w:tcPr>
            <w:tcW w:w="1064"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jc w:val="center"/>
              <w:rPr>
                <w:rFonts w:ascii="黑体" w:hAnsi="黑体" w:eastAsia="黑体"/>
                <w:sz w:val="24"/>
              </w:rPr>
            </w:pPr>
            <w:r>
              <w:rPr>
                <w:rFonts w:hint="eastAsia" w:ascii="黑体" w:hAnsi="黑体" w:eastAsia="黑体"/>
                <w:sz w:val="24"/>
              </w:rPr>
              <w:t>9</w:t>
            </w:r>
          </w:p>
        </w:tc>
        <w:tc>
          <w:tcPr>
            <w:tcW w:w="1163" w:type="pct"/>
          </w:tcPr>
          <w:p>
            <w:pPr>
              <w:jc w:val="left"/>
              <w:rPr>
                <w:rFonts w:ascii="黑体" w:hAnsi="黑体" w:eastAsia="黑体"/>
                <w:sz w:val="24"/>
              </w:rPr>
            </w:pPr>
          </w:p>
        </w:tc>
        <w:tc>
          <w:tcPr>
            <w:tcW w:w="1258" w:type="pct"/>
            <w:vAlign w:val="center"/>
          </w:tcPr>
          <w:p>
            <w:pPr>
              <w:jc w:val="left"/>
              <w:rPr>
                <w:rFonts w:ascii="黑体" w:hAnsi="黑体" w:eastAsia="黑体"/>
                <w:sz w:val="24"/>
              </w:rPr>
            </w:pPr>
          </w:p>
        </w:tc>
        <w:tc>
          <w:tcPr>
            <w:tcW w:w="1035" w:type="pct"/>
            <w:vAlign w:val="center"/>
          </w:tcPr>
          <w:p>
            <w:pPr>
              <w:jc w:val="left"/>
              <w:rPr>
                <w:rFonts w:ascii="黑体" w:hAnsi="黑体" w:eastAsia="黑体"/>
                <w:sz w:val="24"/>
              </w:rPr>
            </w:pPr>
          </w:p>
        </w:tc>
        <w:tc>
          <w:tcPr>
            <w:tcW w:w="1064"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jc w:val="center"/>
              <w:rPr>
                <w:rFonts w:ascii="黑体" w:hAnsi="黑体" w:eastAsia="黑体"/>
                <w:sz w:val="24"/>
              </w:rPr>
            </w:pPr>
            <w:r>
              <w:rPr>
                <w:rFonts w:hint="eastAsia" w:ascii="黑体" w:hAnsi="黑体" w:eastAsia="黑体"/>
                <w:sz w:val="24"/>
              </w:rPr>
              <w:t>10</w:t>
            </w:r>
          </w:p>
        </w:tc>
        <w:tc>
          <w:tcPr>
            <w:tcW w:w="1163" w:type="pct"/>
          </w:tcPr>
          <w:p>
            <w:pPr>
              <w:jc w:val="left"/>
              <w:rPr>
                <w:rFonts w:ascii="黑体" w:hAnsi="黑体" w:eastAsia="黑体"/>
                <w:sz w:val="24"/>
              </w:rPr>
            </w:pPr>
          </w:p>
        </w:tc>
        <w:tc>
          <w:tcPr>
            <w:tcW w:w="1258" w:type="pct"/>
            <w:vAlign w:val="center"/>
          </w:tcPr>
          <w:p>
            <w:pPr>
              <w:jc w:val="left"/>
              <w:rPr>
                <w:rFonts w:ascii="黑体" w:hAnsi="黑体" w:eastAsia="黑体"/>
                <w:sz w:val="24"/>
              </w:rPr>
            </w:pPr>
          </w:p>
        </w:tc>
        <w:tc>
          <w:tcPr>
            <w:tcW w:w="1035" w:type="pct"/>
            <w:vAlign w:val="center"/>
          </w:tcPr>
          <w:p>
            <w:pPr>
              <w:jc w:val="left"/>
              <w:rPr>
                <w:rFonts w:ascii="黑体" w:hAnsi="黑体" w:eastAsia="黑体"/>
                <w:sz w:val="24"/>
              </w:rPr>
            </w:pPr>
          </w:p>
        </w:tc>
        <w:tc>
          <w:tcPr>
            <w:tcW w:w="1064"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jc w:val="center"/>
              <w:rPr>
                <w:rFonts w:ascii="黑体" w:hAnsi="黑体" w:eastAsia="黑体"/>
                <w:sz w:val="24"/>
              </w:rPr>
            </w:pPr>
            <w:r>
              <w:rPr>
                <w:rFonts w:hint="eastAsia" w:ascii="黑体" w:hAnsi="黑体" w:eastAsia="黑体"/>
                <w:sz w:val="24"/>
              </w:rPr>
              <w:t>11</w:t>
            </w:r>
          </w:p>
        </w:tc>
        <w:tc>
          <w:tcPr>
            <w:tcW w:w="1163" w:type="pct"/>
          </w:tcPr>
          <w:p>
            <w:pPr>
              <w:jc w:val="left"/>
              <w:rPr>
                <w:rFonts w:ascii="黑体" w:hAnsi="黑体" w:eastAsia="黑体"/>
                <w:sz w:val="24"/>
              </w:rPr>
            </w:pPr>
          </w:p>
        </w:tc>
        <w:tc>
          <w:tcPr>
            <w:tcW w:w="1258" w:type="pct"/>
            <w:vAlign w:val="center"/>
          </w:tcPr>
          <w:p>
            <w:pPr>
              <w:jc w:val="left"/>
              <w:rPr>
                <w:rFonts w:ascii="黑体" w:hAnsi="黑体" w:eastAsia="黑体"/>
                <w:sz w:val="24"/>
              </w:rPr>
            </w:pPr>
          </w:p>
        </w:tc>
        <w:tc>
          <w:tcPr>
            <w:tcW w:w="1035" w:type="pct"/>
            <w:vAlign w:val="center"/>
          </w:tcPr>
          <w:p>
            <w:pPr>
              <w:jc w:val="left"/>
              <w:rPr>
                <w:rFonts w:ascii="黑体" w:hAnsi="黑体" w:eastAsia="黑体"/>
                <w:sz w:val="24"/>
              </w:rPr>
            </w:pPr>
          </w:p>
        </w:tc>
        <w:tc>
          <w:tcPr>
            <w:tcW w:w="1064"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jc w:val="center"/>
              <w:rPr>
                <w:rFonts w:ascii="黑体" w:hAnsi="黑体" w:eastAsia="黑体"/>
                <w:sz w:val="24"/>
              </w:rPr>
            </w:pPr>
            <w:r>
              <w:rPr>
                <w:rFonts w:hint="eastAsia" w:ascii="黑体" w:hAnsi="黑体" w:eastAsia="黑体"/>
                <w:sz w:val="24"/>
              </w:rPr>
              <w:t>12</w:t>
            </w:r>
          </w:p>
        </w:tc>
        <w:tc>
          <w:tcPr>
            <w:tcW w:w="1163" w:type="pct"/>
          </w:tcPr>
          <w:p>
            <w:pPr>
              <w:jc w:val="left"/>
              <w:rPr>
                <w:rFonts w:ascii="黑体" w:hAnsi="黑体" w:eastAsia="黑体"/>
                <w:sz w:val="24"/>
              </w:rPr>
            </w:pPr>
          </w:p>
        </w:tc>
        <w:tc>
          <w:tcPr>
            <w:tcW w:w="1258" w:type="pct"/>
            <w:vAlign w:val="center"/>
          </w:tcPr>
          <w:p>
            <w:pPr>
              <w:jc w:val="left"/>
              <w:rPr>
                <w:rFonts w:ascii="黑体" w:hAnsi="黑体" w:eastAsia="黑体"/>
                <w:sz w:val="24"/>
              </w:rPr>
            </w:pPr>
          </w:p>
        </w:tc>
        <w:tc>
          <w:tcPr>
            <w:tcW w:w="1035" w:type="pct"/>
            <w:vAlign w:val="center"/>
          </w:tcPr>
          <w:p>
            <w:pPr>
              <w:jc w:val="left"/>
              <w:rPr>
                <w:rFonts w:ascii="黑体" w:hAnsi="黑体" w:eastAsia="黑体"/>
                <w:sz w:val="24"/>
              </w:rPr>
            </w:pPr>
          </w:p>
        </w:tc>
        <w:tc>
          <w:tcPr>
            <w:tcW w:w="1064"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jc w:val="center"/>
              <w:rPr>
                <w:rFonts w:ascii="黑体" w:hAnsi="黑体" w:eastAsia="黑体"/>
                <w:sz w:val="24"/>
              </w:rPr>
            </w:pPr>
            <w:r>
              <w:rPr>
                <w:rFonts w:hint="eastAsia" w:ascii="黑体" w:hAnsi="黑体" w:eastAsia="黑体"/>
                <w:sz w:val="24"/>
              </w:rPr>
              <w:t>13</w:t>
            </w:r>
          </w:p>
        </w:tc>
        <w:tc>
          <w:tcPr>
            <w:tcW w:w="1163" w:type="pct"/>
          </w:tcPr>
          <w:p>
            <w:pPr>
              <w:jc w:val="left"/>
              <w:rPr>
                <w:rFonts w:ascii="黑体" w:hAnsi="黑体" w:eastAsia="黑体"/>
                <w:sz w:val="24"/>
              </w:rPr>
            </w:pPr>
          </w:p>
        </w:tc>
        <w:tc>
          <w:tcPr>
            <w:tcW w:w="1258" w:type="pct"/>
            <w:vAlign w:val="center"/>
          </w:tcPr>
          <w:p>
            <w:pPr>
              <w:jc w:val="left"/>
              <w:rPr>
                <w:rFonts w:ascii="黑体" w:hAnsi="黑体" w:eastAsia="黑体"/>
                <w:sz w:val="24"/>
              </w:rPr>
            </w:pPr>
          </w:p>
        </w:tc>
        <w:tc>
          <w:tcPr>
            <w:tcW w:w="1035" w:type="pct"/>
            <w:vAlign w:val="center"/>
          </w:tcPr>
          <w:p>
            <w:pPr>
              <w:jc w:val="left"/>
              <w:rPr>
                <w:rFonts w:ascii="黑体" w:hAnsi="黑体" w:eastAsia="黑体"/>
                <w:sz w:val="24"/>
              </w:rPr>
            </w:pPr>
          </w:p>
        </w:tc>
        <w:tc>
          <w:tcPr>
            <w:tcW w:w="1064"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jc w:val="center"/>
              <w:rPr>
                <w:rFonts w:ascii="黑体" w:hAnsi="黑体" w:eastAsia="黑体"/>
                <w:sz w:val="24"/>
              </w:rPr>
            </w:pPr>
            <w:r>
              <w:rPr>
                <w:rFonts w:hint="eastAsia" w:ascii="黑体" w:hAnsi="黑体" w:eastAsia="黑体"/>
                <w:sz w:val="24"/>
              </w:rPr>
              <w:t>14</w:t>
            </w:r>
          </w:p>
        </w:tc>
        <w:tc>
          <w:tcPr>
            <w:tcW w:w="1163" w:type="pct"/>
          </w:tcPr>
          <w:p>
            <w:pPr>
              <w:jc w:val="left"/>
              <w:rPr>
                <w:rFonts w:ascii="黑体" w:hAnsi="黑体" w:eastAsia="黑体"/>
                <w:sz w:val="24"/>
              </w:rPr>
            </w:pPr>
          </w:p>
        </w:tc>
        <w:tc>
          <w:tcPr>
            <w:tcW w:w="1258" w:type="pct"/>
            <w:vAlign w:val="center"/>
          </w:tcPr>
          <w:p>
            <w:pPr>
              <w:jc w:val="left"/>
              <w:rPr>
                <w:rFonts w:ascii="黑体" w:hAnsi="黑体" w:eastAsia="黑体"/>
                <w:sz w:val="24"/>
              </w:rPr>
            </w:pPr>
          </w:p>
        </w:tc>
        <w:tc>
          <w:tcPr>
            <w:tcW w:w="1035" w:type="pct"/>
            <w:vAlign w:val="center"/>
          </w:tcPr>
          <w:p>
            <w:pPr>
              <w:jc w:val="left"/>
              <w:rPr>
                <w:rFonts w:ascii="黑体" w:hAnsi="黑体" w:eastAsia="黑体"/>
                <w:sz w:val="24"/>
              </w:rPr>
            </w:pPr>
          </w:p>
        </w:tc>
        <w:tc>
          <w:tcPr>
            <w:tcW w:w="1064" w:type="pct"/>
            <w:vAlign w:val="center"/>
          </w:tcPr>
          <w:p>
            <w:pPr>
              <w:jc w:val="left"/>
              <w:rPr>
                <w:rFonts w:ascii="黑体" w:hAnsi="黑体" w:eastAsia="黑体"/>
                <w:sz w:val="24"/>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1、业绩证明材料要求：合同。</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2、</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2"/>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widowControl/>
        <w:autoSpaceDE w:val="0"/>
        <w:autoSpaceDN w:val="0"/>
        <w:spacing w:line="360" w:lineRule="atLeast"/>
        <w:ind w:left="180"/>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六</w:t>
      </w:r>
      <w:r>
        <w:rPr>
          <w:rFonts w:ascii="Times New Roman" w:hAnsi="Times New Roman" w:eastAsia="黑体" w:cs="Times New Roman"/>
          <w:sz w:val="28"/>
          <w:szCs w:val="28"/>
        </w:rPr>
        <w:t>、拟委任的主要人员</w:t>
      </w:r>
    </w:p>
    <w:p>
      <w:pPr>
        <w:pStyle w:val="2"/>
        <w:widowControl/>
        <w:autoSpaceDE w:val="0"/>
        <w:autoSpaceDN w:val="0"/>
        <w:spacing w:line="360" w:lineRule="atLeast"/>
        <w:ind w:left="180"/>
        <w:jc w:val="center"/>
        <w:textAlignment w:val="bottom"/>
        <w:rPr>
          <w:rFonts w:ascii="Times New Roman" w:hAnsi="Times New Roman" w:eastAsia="黑体" w:cs="Times New Roman"/>
          <w:sz w:val="28"/>
          <w:szCs w:val="28"/>
        </w:rPr>
      </w:pPr>
      <w:r>
        <w:rPr>
          <w:rFonts w:ascii="Times New Roman" w:hAnsi="Times New Roman" w:eastAsia="黑体" w:cs="Times New Roman"/>
          <w:sz w:val="28"/>
          <w:szCs w:val="28"/>
        </w:rPr>
        <w:t>拟委任的</w:t>
      </w:r>
      <w:r>
        <w:rPr>
          <w:rFonts w:hint="eastAsia" w:ascii="Times New Roman" w:hAnsi="Times New Roman" w:eastAsia="黑体" w:cs="Times New Roman"/>
          <w:sz w:val="28"/>
          <w:szCs w:val="28"/>
        </w:rPr>
        <w:t>主要人员</w:t>
      </w:r>
      <w:r>
        <w:rPr>
          <w:rFonts w:ascii="Times New Roman" w:hAnsi="Times New Roman" w:eastAsia="黑体" w:cs="Times New Roman"/>
          <w:sz w:val="28"/>
          <w:szCs w:val="28"/>
        </w:rPr>
        <w:t>资历表</w:t>
      </w:r>
    </w:p>
    <w:tbl>
      <w:tblPr>
        <w:tblStyle w:val="24"/>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3"/>
        <w:gridCol w:w="48"/>
        <w:gridCol w:w="1392"/>
        <w:gridCol w:w="1016"/>
        <w:gridCol w:w="1322"/>
        <w:gridCol w:w="323"/>
        <w:gridCol w:w="1478"/>
        <w:gridCol w:w="36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姓名</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年龄</w:t>
            </w:r>
          </w:p>
        </w:tc>
        <w:tc>
          <w:tcPr>
            <w:tcW w:w="1322"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专业</w:t>
            </w:r>
          </w:p>
        </w:tc>
        <w:tc>
          <w:tcPr>
            <w:tcW w:w="1598"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6"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职称</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公司单位职务</w:t>
            </w:r>
          </w:p>
        </w:tc>
        <w:tc>
          <w:tcPr>
            <w:tcW w:w="1322"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担任职务</w:t>
            </w:r>
          </w:p>
        </w:tc>
        <w:tc>
          <w:tcPr>
            <w:tcW w:w="1598"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8360" w:type="dxa"/>
            <w:gridSpan w:val="9"/>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__年</w:t>
            </w:r>
          </w:p>
        </w:tc>
        <w:tc>
          <w:tcPr>
            <w:tcW w:w="4053" w:type="dxa"/>
            <w:gridSpan w:val="4"/>
            <w:vAlign w:val="center"/>
          </w:tcPr>
          <w:p>
            <w:pPr>
              <w:pStyle w:val="4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w:t>
            </w:r>
            <w:r>
              <w:rPr>
                <w:rFonts w:hint="eastAsia" w:ascii="Times New Roman" w:hAnsi="Times New Roman" w:cs="Times New Roman"/>
                <w:spacing w:val="0"/>
                <w:kern w:val="2"/>
                <w:szCs w:val="21"/>
              </w:rPr>
              <w:t>类似</w:t>
            </w:r>
            <w:r>
              <w:rPr>
                <w:rFonts w:ascii="Times New Roman" w:hAnsi="Times New Roman" w:cs="Times New Roman"/>
                <w:spacing w:val="0"/>
                <w:kern w:val="2"/>
                <w:szCs w:val="21"/>
              </w:rPr>
              <w:t>项目名称</w:t>
            </w:r>
          </w:p>
        </w:tc>
        <w:tc>
          <w:tcPr>
            <w:tcW w:w="1847" w:type="dxa"/>
            <w:gridSpan w:val="2"/>
            <w:vAlign w:val="center"/>
          </w:tcPr>
          <w:p>
            <w:pPr>
              <w:pStyle w:val="4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rPr>
            </w:pPr>
          </w:p>
        </w:tc>
      </w:tr>
    </w:tbl>
    <w:p>
      <w:pPr>
        <w:pStyle w:val="10"/>
        <w:spacing w:line="240" w:lineRule="atLeast"/>
        <w:ind w:left="0" w:leftChars="0"/>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1、一个人员对应填写一张本资历表。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w:t>
      </w:r>
      <w:r>
        <w:rPr>
          <w:rFonts w:ascii="Times New Roman" w:hAnsi="Times New Roman" w:eastAsia="黑体" w:cs="Times New Roman"/>
          <w:szCs w:val="21"/>
        </w:rPr>
        <w:t>在本表后应附有其有效的身份证</w:t>
      </w:r>
      <w:r>
        <w:rPr>
          <w:rFonts w:hint="eastAsia" w:ascii="Times New Roman" w:hAnsi="Times New Roman" w:eastAsia="黑体" w:cs="Times New Roman"/>
          <w:szCs w:val="21"/>
        </w:rPr>
        <w:t>、响应文件递交截止时间前一年内连续三个月在供应商本单位的社保缴费记录、专业资质证书</w:t>
      </w:r>
      <w:r>
        <w:rPr>
          <w:rFonts w:ascii="Times New Roman" w:hAnsi="Times New Roman" w:eastAsia="黑体" w:cs="Times New Roman"/>
          <w:szCs w:val="21"/>
        </w:rPr>
        <w:t>的复印件。所有证件的扫描件均应清晰可辨，否则，将被认为证书无效。</w:t>
      </w:r>
    </w:p>
    <w:p>
      <w:pPr>
        <w:pStyle w:val="10"/>
        <w:spacing w:after="0" w:line="240" w:lineRule="atLeast"/>
        <w:ind w:left="630" w:leftChars="100" w:hanging="420" w:hangingChars="200"/>
        <w:rPr>
          <w:rFonts w:ascii="Times New Roman" w:hAnsi="Times New Roman" w:eastAsia="黑体" w:cs="Times New Roman"/>
          <w:bCs/>
          <w:kern w:val="0"/>
          <w:szCs w:val="21"/>
        </w:rPr>
      </w:pPr>
    </w:p>
    <w:p>
      <w:pPr>
        <w:pStyle w:val="10"/>
        <w:spacing w:after="0" w:line="240" w:lineRule="atLeast"/>
        <w:ind w:left="630" w:leftChars="100" w:hanging="420" w:hangingChars="200"/>
        <w:rPr>
          <w:rFonts w:ascii="Times New Roman" w:hAnsi="Times New Roman" w:cs="Times New Roman"/>
          <w:bCs/>
          <w:kern w:val="0"/>
          <w:sz w:val="20"/>
          <w:szCs w:val="20"/>
        </w:rPr>
      </w:pPr>
      <w:r>
        <w:rPr>
          <w:rFonts w:ascii="Times New Roman" w:hAnsi="Times New Roman" w:eastAsia="黑体" w:cs="Times New Roman"/>
          <w:bCs/>
          <w:kern w:val="0"/>
          <w:szCs w:val="21"/>
        </w:rPr>
        <w:br w:type="page"/>
      </w:r>
    </w:p>
    <w:p>
      <w:pPr>
        <w:tabs>
          <w:tab w:val="left" w:pos="3060"/>
        </w:tabs>
        <w:topLinePunct/>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七</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p>
    <w:p>
      <w:pPr>
        <w:topLinePunct/>
        <w:spacing w:line="440" w:lineRule="exact"/>
        <w:rPr>
          <w:rFonts w:ascii="Times New Roman" w:hAnsi="Times New Roman" w:cs="Times New Roman"/>
          <w:bCs/>
          <w:sz w:val="23"/>
          <w:szCs w:val="23"/>
        </w:rPr>
      </w:pP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向前追溯3年）供应商或其法定代表人、拟委任的</w:t>
            </w:r>
            <w:r>
              <w:rPr>
                <w:rFonts w:hint="eastAsia" w:ascii="Times New Roman" w:hAnsi="Times New Roman" w:cs="Times New Roman"/>
                <w:sz w:val="24"/>
                <w:szCs w:val="28"/>
              </w:rPr>
              <w:t>项目负责人</w:t>
            </w:r>
            <w:r>
              <w:rPr>
                <w:rFonts w:ascii="Times New Roman" w:hAnsi="Times New Roman" w:cs="Times New Roman"/>
                <w:sz w:val="24"/>
                <w:szCs w:val="28"/>
              </w:rPr>
              <w:t>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2"/>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供应商：(盖单位章)</w:t>
      </w:r>
    </w:p>
    <w:p>
      <w:pPr>
        <w:pStyle w:val="2"/>
        <w:jc w:val="right"/>
        <w:rPr>
          <w:u w:val="single"/>
        </w:rPr>
      </w:pPr>
      <w:r>
        <w:rPr>
          <w:rFonts w:ascii="Times New Roman" w:hAnsi="Times New Roman" w:cs="Times New Roman"/>
          <w:sz w:val="24"/>
        </w:rPr>
        <w:t>年月日</w:t>
      </w:r>
    </w:p>
    <w:p>
      <w:pPr>
        <w:pStyle w:val="2"/>
      </w:pPr>
    </w:p>
    <w:p>
      <w:pPr>
        <w:pStyle w:val="2"/>
        <w:spacing w:line="440" w:lineRule="exact"/>
        <w:rPr>
          <w:rFonts w:ascii="Times New Roman" w:hAnsi="Times New Roman" w:cs="Times New Roman"/>
          <w:sz w:val="24"/>
        </w:rPr>
      </w:pPr>
    </w:p>
    <w:p>
      <w:pPr>
        <w:spacing w:line="400" w:lineRule="atLeast"/>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八</w:t>
      </w:r>
      <w:r>
        <w:rPr>
          <w:rFonts w:ascii="Times New Roman" w:hAnsi="Times New Roman" w:eastAsia="黑体" w:cs="Times New Roman"/>
          <w:sz w:val="28"/>
          <w:szCs w:val="28"/>
        </w:rPr>
        <w:t>、</w:t>
      </w:r>
      <w:r>
        <w:rPr>
          <w:rFonts w:hint="eastAsia" w:ascii="Times New Roman" w:hAnsi="Times New Roman" w:eastAsia="黑体" w:cs="Times New Roman"/>
          <w:sz w:val="28"/>
          <w:szCs w:val="28"/>
        </w:rPr>
        <w:t>服务方案</w:t>
      </w:r>
    </w:p>
    <w:p>
      <w:pPr>
        <w:spacing w:line="440" w:lineRule="exact"/>
        <w:rPr>
          <w:rFonts w:ascii="Times New Roman" w:hAnsi="Times New Roman" w:eastAsia="黑体" w:cs="Times New Roman"/>
          <w:sz w:val="20"/>
          <w:szCs w:val="20"/>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供应商应按</w:t>
      </w:r>
      <w:r>
        <w:rPr>
          <w:rFonts w:hint="eastAsia" w:ascii="Times New Roman" w:hAnsi="Times New Roman" w:cs="Times New Roman"/>
          <w:sz w:val="24"/>
        </w:rPr>
        <w:t>项目特点</w:t>
      </w:r>
      <w:r>
        <w:rPr>
          <w:rFonts w:ascii="Times New Roman" w:hAnsi="Times New Roman" w:cs="Times New Roman"/>
          <w:sz w:val="24"/>
        </w:rPr>
        <w:t>编制</w:t>
      </w:r>
      <w:r>
        <w:rPr>
          <w:rFonts w:hint="eastAsia" w:ascii="Times New Roman" w:hAnsi="Times New Roman" w:cs="Times New Roman"/>
          <w:sz w:val="24"/>
        </w:rPr>
        <w:t>服务方案</w:t>
      </w:r>
      <w:r>
        <w:rPr>
          <w:rFonts w:ascii="Times New Roman" w:hAnsi="Times New Roman" w:cs="Times New Roman"/>
          <w:sz w:val="24"/>
        </w:rPr>
        <w:t>(文字宜精炼、内容具有针对性)</w:t>
      </w:r>
      <w:r>
        <w:rPr>
          <w:rFonts w:hint="eastAsia" w:ascii="Times New Roman" w:hAnsi="Times New Roman" w:cs="Times New Roman"/>
          <w:sz w:val="24"/>
        </w:rPr>
        <w:t>。</w:t>
      </w:r>
    </w:p>
    <w:p>
      <w:pPr>
        <w:numPr>
          <w:ilvl w:val="255"/>
          <w:numId w:val="0"/>
        </w:num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九</w:t>
      </w:r>
      <w:r>
        <w:rPr>
          <w:rFonts w:ascii="Times New Roman" w:hAnsi="Times New Roman" w:eastAsia="黑体" w:cs="Times New Roman"/>
          <w:sz w:val="28"/>
          <w:szCs w:val="28"/>
        </w:rPr>
        <w:t>、其它材料</w:t>
      </w:r>
    </w:p>
    <w:p>
      <w:pPr>
        <w:pStyle w:val="42"/>
        <w:rPr>
          <w:rFonts w:hint="default" w:ascii="Times New Roman" w:hAnsi="Times New Roman"/>
          <w:color w:val="auto"/>
          <w:szCs w:val="28"/>
        </w:rPr>
      </w:pPr>
    </w:p>
    <w:p>
      <w:pPr>
        <w:pStyle w:val="42"/>
        <w:rPr>
          <w:rFonts w:hint="default" w:ascii="Times New Roman" w:hAnsi="Times New Roman"/>
          <w:color w:val="auto"/>
          <w:szCs w:val="28"/>
        </w:rPr>
      </w:pPr>
    </w:p>
    <w:p>
      <w:pPr>
        <w:spacing w:line="400" w:lineRule="atLeast"/>
        <w:jc w:val="left"/>
        <w:rPr>
          <w:rFonts w:ascii="Times New Roman" w:hAnsi="Times New Roman" w:eastAsia="黑体" w:cs="Times New Roman"/>
          <w:strike/>
          <w:szCs w:val="21"/>
        </w:rPr>
      </w:pPr>
    </w:p>
    <w:sectPr>
      <w:footerReference r:id="rId6" w:type="default"/>
      <w:footnotePr>
        <w:numFmt w:val="decimalEnclosedCircleChinese"/>
      </w:footnote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48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44805" cy="139700"/>
                      </a:xfrm>
                      <a:prstGeom prst="rect">
                        <a:avLst/>
                      </a:prstGeom>
                      <a:noFill/>
                      <a:ln>
                        <a:noFill/>
                      </a:ln>
                      <a:effectLst/>
                    </wps:spPr>
                    <wps:txbx>
                      <w:txbxContent>
                        <w:p>
                          <w:pPr>
                            <w:pStyle w:val="15"/>
                            <w:ind w:firstLine="360"/>
                          </w:pPr>
                          <w:r>
                            <w:fldChar w:fldCharType="begin"/>
                          </w:r>
                          <w:r>
                            <w:instrText xml:space="preserve"> PAGE  \* MERGEFORMAT </w:instrText>
                          </w:r>
                          <w:r>
                            <w:fldChar w:fldCharType="separate"/>
                          </w:r>
                          <w:r>
                            <w:t>17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27.15pt;mso-position-horizontal:center;mso-position-horizontal-relative:margin;mso-wrap-style:none;z-index:251659264;mso-width-relative:page;mso-height-relative:page;" filled="f" stroked="f" coordsize="21600,21600" o:gfxdata="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1CASNEAAAADAQAADwAAAAAAAAABACAAAAAiAAAA&#10;ZHJzL2Rvd25yZXYueG1sUEsBAhQAFAAAAAgAh07iQOMWcmnVAQAApQMAAA4AAAAAAAAAAQAgAAAA&#10;IAEAAGRycy9lMm9Eb2MueG1sUEsFBgAAAAAGAAYAWQEAAGcFAAAAAA==&#10;">
              <v:fill on="f" focussize="0,0"/>
              <v:stroke on="f"/>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17</w:t>
                    </w:r>
                    <w:r>
                      <w:fldChar w:fldCharType="end"/>
                    </w:r>
                  </w:p>
                </w:txbxContent>
              </v:textbox>
            </v:shape>
          </w:pict>
        </mc:Fallback>
      </mc:AlternateContent>
    </w:r>
  </w:p>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5255" cy="3257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3525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26"/>
                            </w:rPr>
                            <w:instrText xml:space="preserve"> PAGE </w:instrText>
                          </w:r>
                          <w:r>
                            <w:fldChar w:fldCharType="separate"/>
                          </w:r>
                          <w:r>
                            <w:rPr>
                              <w:rStyle w:val="26"/>
                            </w:rPr>
                            <w:t>31</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5.65pt;width:10.65pt;mso-position-horizontal:center;mso-position-horizontal-relative:margin;mso-wrap-style:none;z-index:251660288;mso-width-relative:page;mso-height-relative:page;" filled="f" stroked="f" coordsize="21600,21600" o:gfxdata="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iSD5NEAAAADAQAADwAAAAAAAAABACAAAAAiAAAAZHJzL2Rvd25yZXYueG1sUEsB&#10;AhQAFAAAAAgAh07iQOm3hCQ1AgAAYQQAAA4AAAAAAAAAAQAgAAAAIAEAAGRycy9lMm9Eb2MueG1s&#10;UEsFBgAAAAAGAAYAWQEAAMcFAAAAAA==&#10;">
              <v:fill on="f" focussize="0,0"/>
              <v:stroke on="f" weight="0.5pt"/>
              <v:imagedata o:title=""/>
              <o:lock v:ext="edit" aspectratio="f"/>
              <v:textbox inset="0mm,0mm,0mm,0mm" style="mso-fit-shape-to-text:t;">
                <w:txbxContent>
                  <w:p>
                    <w:pPr>
                      <w:jc w:val="center"/>
                    </w:pPr>
                    <w:r>
                      <w:fldChar w:fldCharType="begin"/>
                    </w:r>
                    <w:r>
                      <w:rPr>
                        <w:rStyle w:val="26"/>
                      </w:rPr>
                      <w:instrText xml:space="preserve"> PAGE </w:instrText>
                    </w:r>
                    <w:r>
                      <w:fldChar w:fldCharType="separate"/>
                    </w:r>
                    <w:r>
                      <w:rPr>
                        <w:rStyle w:val="26"/>
                      </w:rPr>
                      <w:t>31</w:t>
                    </w:r>
                    <w: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center"/>
                          </w:pPr>
                          <w:r>
                            <w:fldChar w:fldCharType="begin"/>
                          </w:r>
                          <w:r>
                            <w:rPr>
                              <w:rStyle w:val="26"/>
                            </w:rPr>
                            <w:instrText xml:space="preserve"> PAGE </w:instrText>
                          </w:r>
                          <w:r>
                            <w:fldChar w:fldCharType="separate"/>
                          </w:r>
                          <w:r>
                            <w:rPr>
                              <w:rStyle w:val="26"/>
                            </w:rPr>
                            <w:t>38</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jc w:val="center"/>
                    </w:pPr>
                    <w:r>
                      <w:fldChar w:fldCharType="begin"/>
                    </w:r>
                    <w:r>
                      <w:rPr>
                        <w:rStyle w:val="26"/>
                      </w:rPr>
                      <w:instrText xml:space="preserve"> PAGE </w:instrText>
                    </w:r>
                    <w:r>
                      <w:fldChar w:fldCharType="separate"/>
                    </w:r>
                    <w:r>
                      <w:rPr>
                        <w:rStyle w:val="26"/>
                      </w:rPr>
                      <w:t>38</w:t>
                    </w:r>
                    <w:r>
                      <w:fldChar w:fldCharType="end"/>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4701"/>
        </w:tabs>
        <w:ind w:left="4701"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01D7B5A"/>
    <w:multiLevelType w:val="singleLevel"/>
    <w:tmpl w:val="C01D7B5A"/>
    <w:lvl w:ilvl="0" w:tentative="0">
      <w:start w:val="2"/>
      <w:numFmt w:val="decimal"/>
      <w:suff w:val="nothing"/>
      <w:lvlText w:val="（%1）"/>
      <w:lvlJc w:val="left"/>
    </w:lvl>
  </w:abstractNum>
  <w:abstractNum w:abstractNumId="2">
    <w:nsid w:val="10954B7C"/>
    <w:multiLevelType w:val="multilevel"/>
    <w:tmpl w:val="10954B7C"/>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E95D47B"/>
    <w:multiLevelType w:val="singleLevel"/>
    <w:tmpl w:val="2E95D47B"/>
    <w:lvl w:ilvl="0" w:tentative="0">
      <w:start w:val="1"/>
      <w:numFmt w:val="decimal"/>
      <w:pStyle w:val="4"/>
      <w:suff w:val="nothing"/>
      <w:lvlText w:val="%1．"/>
      <w:lvlJc w:val="left"/>
      <w:pPr>
        <w:ind w:left="-400" w:firstLine="4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97"/>
    <w:rsid w:val="000022F4"/>
    <w:rsid w:val="00002BFE"/>
    <w:rsid w:val="0000487D"/>
    <w:rsid w:val="000059F1"/>
    <w:rsid w:val="00005EE4"/>
    <w:rsid w:val="000116A7"/>
    <w:rsid w:val="000121EF"/>
    <w:rsid w:val="00012E18"/>
    <w:rsid w:val="00012EAD"/>
    <w:rsid w:val="000155C7"/>
    <w:rsid w:val="00016591"/>
    <w:rsid w:val="00021A6C"/>
    <w:rsid w:val="00025708"/>
    <w:rsid w:val="00026242"/>
    <w:rsid w:val="000263CB"/>
    <w:rsid w:val="000267DB"/>
    <w:rsid w:val="00031F8D"/>
    <w:rsid w:val="00032707"/>
    <w:rsid w:val="000331CD"/>
    <w:rsid w:val="00034249"/>
    <w:rsid w:val="0003707A"/>
    <w:rsid w:val="00037341"/>
    <w:rsid w:val="00040274"/>
    <w:rsid w:val="0004177A"/>
    <w:rsid w:val="000417B1"/>
    <w:rsid w:val="00042E66"/>
    <w:rsid w:val="0004386D"/>
    <w:rsid w:val="0004518C"/>
    <w:rsid w:val="000452D5"/>
    <w:rsid w:val="00045B55"/>
    <w:rsid w:val="000477CB"/>
    <w:rsid w:val="00052763"/>
    <w:rsid w:val="00052DE5"/>
    <w:rsid w:val="00052F87"/>
    <w:rsid w:val="000547E8"/>
    <w:rsid w:val="0005533E"/>
    <w:rsid w:val="0005554B"/>
    <w:rsid w:val="00057836"/>
    <w:rsid w:val="0006189F"/>
    <w:rsid w:val="00061EDA"/>
    <w:rsid w:val="0006320C"/>
    <w:rsid w:val="00064332"/>
    <w:rsid w:val="000657F4"/>
    <w:rsid w:val="000714D2"/>
    <w:rsid w:val="00073467"/>
    <w:rsid w:val="0007400B"/>
    <w:rsid w:val="00074144"/>
    <w:rsid w:val="0007455E"/>
    <w:rsid w:val="00074B8B"/>
    <w:rsid w:val="00075377"/>
    <w:rsid w:val="00076AA8"/>
    <w:rsid w:val="0008260C"/>
    <w:rsid w:val="00084AF7"/>
    <w:rsid w:val="00086DCC"/>
    <w:rsid w:val="000909BF"/>
    <w:rsid w:val="00090AB1"/>
    <w:rsid w:val="000912F6"/>
    <w:rsid w:val="00091D60"/>
    <w:rsid w:val="00093307"/>
    <w:rsid w:val="000A0D83"/>
    <w:rsid w:val="000A10D4"/>
    <w:rsid w:val="000A2456"/>
    <w:rsid w:val="000A392B"/>
    <w:rsid w:val="000A5EC9"/>
    <w:rsid w:val="000B1593"/>
    <w:rsid w:val="000B1998"/>
    <w:rsid w:val="000B38D1"/>
    <w:rsid w:val="000B4B1D"/>
    <w:rsid w:val="000B7D15"/>
    <w:rsid w:val="000C1B72"/>
    <w:rsid w:val="000C203F"/>
    <w:rsid w:val="000C3444"/>
    <w:rsid w:val="000C34A5"/>
    <w:rsid w:val="000C40BF"/>
    <w:rsid w:val="000C45C2"/>
    <w:rsid w:val="000D0883"/>
    <w:rsid w:val="000D08AD"/>
    <w:rsid w:val="000D1D3D"/>
    <w:rsid w:val="000D2A1B"/>
    <w:rsid w:val="000D3C94"/>
    <w:rsid w:val="000D487C"/>
    <w:rsid w:val="000D56EA"/>
    <w:rsid w:val="000E079E"/>
    <w:rsid w:val="000E0898"/>
    <w:rsid w:val="000E135A"/>
    <w:rsid w:val="000E2A70"/>
    <w:rsid w:val="000E3816"/>
    <w:rsid w:val="000E54B2"/>
    <w:rsid w:val="000E6B9B"/>
    <w:rsid w:val="000F0AC7"/>
    <w:rsid w:val="000F283D"/>
    <w:rsid w:val="000F2935"/>
    <w:rsid w:val="000F347D"/>
    <w:rsid w:val="000F5AAF"/>
    <w:rsid w:val="001012A0"/>
    <w:rsid w:val="00102652"/>
    <w:rsid w:val="00102ED1"/>
    <w:rsid w:val="00103339"/>
    <w:rsid w:val="001060B7"/>
    <w:rsid w:val="00106866"/>
    <w:rsid w:val="001077C0"/>
    <w:rsid w:val="00107C2A"/>
    <w:rsid w:val="00111C0A"/>
    <w:rsid w:val="00112A6F"/>
    <w:rsid w:val="00113037"/>
    <w:rsid w:val="00113DF3"/>
    <w:rsid w:val="00116A3A"/>
    <w:rsid w:val="0011736A"/>
    <w:rsid w:val="001203EB"/>
    <w:rsid w:val="0012064D"/>
    <w:rsid w:val="0012072C"/>
    <w:rsid w:val="00121941"/>
    <w:rsid w:val="00121D5C"/>
    <w:rsid w:val="0012216F"/>
    <w:rsid w:val="00122ED6"/>
    <w:rsid w:val="00125034"/>
    <w:rsid w:val="00127287"/>
    <w:rsid w:val="00131437"/>
    <w:rsid w:val="00132986"/>
    <w:rsid w:val="0013350F"/>
    <w:rsid w:val="0013415E"/>
    <w:rsid w:val="001343F4"/>
    <w:rsid w:val="00134CF2"/>
    <w:rsid w:val="00134F3F"/>
    <w:rsid w:val="001351C4"/>
    <w:rsid w:val="001376D0"/>
    <w:rsid w:val="00137700"/>
    <w:rsid w:val="00137D03"/>
    <w:rsid w:val="00137F6E"/>
    <w:rsid w:val="001408AE"/>
    <w:rsid w:val="00140ADB"/>
    <w:rsid w:val="00142A1C"/>
    <w:rsid w:val="001442F6"/>
    <w:rsid w:val="00146F3D"/>
    <w:rsid w:val="0014732C"/>
    <w:rsid w:val="00151BA1"/>
    <w:rsid w:val="00153D61"/>
    <w:rsid w:val="00154093"/>
    <w:rsid w:val="00155BF6"/>
    <w:rsid w:val="00156736"/>
    <w:rsid w:val="001572D5"/>
    <w:rsid w:val="00157F3D"/>
    <w:rsid w:val="001600CD"/>
    <w:rsid w:val="00160B73"/>
    <w:rsid w:val="00160E26"/>
    <w:rsid w:val="00161D78"/>
    <w:rsid w:val="00163843"/>
    <w:rsid w:val="001641E9"/>
    <w:rsid w:val="001645A2"/>
    <w:rsid w:val="00165F87"/>
    <w:rsid w:val="00171344"/>
    <w:rsid w:val="00174308"/>
    <w:rsid w:val="00176B80"/>
    <w:rsid w:val="00180993"/>
    <w:rsid w:val="00180E63"/>
    <w:rsid w:val="001813D8"/>
    <w:rsid w:val="00182A09"/>
    <w:rsid w:val="00183BC2"/>
    <w:rsid w:val="00185005"/>
    <w:rsid w:val="00187BBD"/>
    <w:rsid w:val="00190352"/>
    <w:rsid w:val="00190383"/>
    <w:rsid w:val="00190CD3"/>
    <w:rsid w:val="0019234E"/>
    <w:rsid w:val="00194A3F"/>
    <w:rsid w:val="00194EFB"/>
    <w:rsid w:val="0019642E"/>
    <w:rsid w:val="00197B61"/>
    <w:rsid w:val="00197F1B"/>
    <w:rsid w:val="001A1AF4"/>
    <w:rsid w:val="001A1D31"/>
    <w:rsid w:val="001A308C"/>
    <w:rsid w:val="001A6567"/>
    <w:rsid w:val="001B066C"/>
    <w:rsid w:val="001B2CDB"/>
    <w:rsid w:val="001B32A9"/>
    <w:rsid w:val="001B4CD7"/>
    <w:rsid w:val="001C08BA"/>
    <w:rsid w:val="001C196D"/>
    <w:rsid w:val="001C1A01"/>
    <w:rsid w:val="001C285F"/>
    <w:rsid w:val="001C487F"/>
    <w:rsid w:val="001C4C90"/>
    <w:rsid w:val="001C6282"/>
    <w:rsid w:val="001D01A2"/>
    <w:rsid w:val="001D18CF"/>
    <w:rsid w:val="001D1DFC"/>
    <w:rsid w:val="001D2220"/>
    <w:rsid w:val="001D4ABA"/>
    <w:rsid w:val="001D62DF"/>
    <w:rsid w:val="001D67B0"/>
    <w:rsid w:val="001E1202"/>
    <w:rsid w:val="001E1B0C"/>
    <w:rsid w:val="001E35DB"/>
    <w:rsid w:val="001E5413"/>
    <w:rsid w:val="001F0412"/>
    <w:rsid w:val="001F2685"/>
    <w:rsid w:val="001F5B56"/>
    <w:rsid w:val="001F68A6"/>
    <w:rsid w:val="001F69CE"/>
    <w:rsid w:val="001F7B97"/>
    <w:rsid w:val="00203C69"/>
    <w:rsid w:val="0020438F"/>
    <w:rsid w:val="00204395"/>
    <w:rsid w:val="00204BC9"/>
    <w:rsid w:val="0020653D"/>
    <w:rsid w:val="00207BF7"/>
    <w:rsid w:val="002134B1"/>
    <w:rsid w:val="002141F3"/>
    <w:rsid w:val="00215B84"/>
    <w:rsid w:val="002219C5"/>
    <w:rsid w:val="00221C03"/>
    <w:rsid w:val="00223DD0"/>
    <w:rsid w:val="00224643"/>
    <w:rsid w:val="00224926"/>
    <w:rsid w:val="00224E1E"/>
    <w:rsid w:val="0022611F"/>
    <w:rsid w:val="0022635F"/>
    <w:rsid w:val="00227180"/>
    <w:rsid w:val="00227C1E"/>
    <w:rsid w:val="002304E3"/>
    <w:rsid w:val="002306AE"/>
    <w:rsid w:val="00230888"/>
    <w:rsid w:val="00231702"/>
    <w:rsid w:val="002329CE"/>
    <w:rsid w:val="00233916"/>
    <w:rsid w:val="00235665"/>
    <w:rsid w:val="00237A0D"/>
    <w:rsid w:val="00241ED8"/>
    <w:rsid w:val="0024280D"/>
    <w:rsid w:val="00243EBE"/>
    <w:rsid w:val="00244297"/>
    <w:rsid w:val="00246B3B"/>
    <w:rsid w:val="00246EFC"/>
    <w:rsid w:val="00247E40"/>
    <w:rsid w:val="002507D4"/>
    <w:rsid w:val="00252767"/>
    <w:rsid w:val="00252B98"/>
    <w:rsid w:val="00252CA2"/>
    <w:rsid w:val="00254237"/>
    <w:rsid w:val="00255312"/>
    <w:rsid w:val="00255DAC"/>
    <w:rsid w:val="00261CC0"/>
    <w:rsid w:val="002661A4"/>
    <w:rsid w:val="00267A36"/>
    <w:rsid w:val="00270BCF"/>
    <w:rsid w:val="00272D63"/>
    <w:rsid w:val="00277D66"/>
    <w:rsid w:val="00282DC0"/>
    <w:rsid w:val="0028668F"/>
    <w:rsid w:val="00286C64"/>
    <w:rsid w:val="00286C6D"/>
    <w:rsid w:val="00290AC6"/>
    <w:rsid w:val="002915C4"/>
    <w:rsid w:val="00291BDF"/>
    <w:rsid w:val="002924B8"/>
    <w:rsid w:val="0029337C"/>
    <w:rsid w:val="002941A9"/>
    <w:rsid w:val="00294ED2"/>
    <w:rsid w:val="0029746D"/>
    <w:rsid w:val="0029784C"/>
    <w:rsid w:val="002A025D"/>
    <w:rsid w:val="002A1600"/>
    <w:rsid w:val="002A2AC7"/>
    <w:rsid w:val="002A3370"/>
    <w:rsid w:val="002B03AE"/>
    <w:rsid w:val="002B1FC1"/>
    <w:rsid w:val="002B2542"/>
    <w:rsid w:val="002B3ECE"/>
    <w:rsid w:val="002B461E"/>
    <w:rsid w:val="002B4866"/>
    <w:rsid w:val="002B4A26"/>
    <w:rsid w:val="002B6B6F"/>
    <w:rsid w:val="002C13E5"/>
    <w:rsid w:val="002D2161"/>
    <w:rsid w:val="002D21A7"/>
    <w:rsid w:val="002D4DD4"/>
    <w:rsid w:val="002D6304"/>
    <w:rsid w:val="002D6DAE"/>
    <w:rsid w:val="002D7765"/>
    <w:rsid w:val="002E1EE3"/>
    <w:rsid w:val="002E3F2A"/>
    <w:rsid w:val="002E5AB7"/>
    <w:rsid w:val="002E7965"/>
    <w:rsid w:val="002F0690"/>
    <w:rsid w:val="002F3A54"/>
    <w:rsid w:val="002F3D0C"/>
    <w:rsid w:val="002F4A66"/>
    <w:rsid w:val="002F602C"/>
    <w:rsid w:val="002F70DA"/>
    <w:rsid w:val="002F7AD4"/>
    <w:rsid w:val="003003BD"/>
    <w:rsid w:val="00301B4F"/>
    <w:rsid w:val="0030203F"/>
    <w:rsid w:val="00302E57"/>
    <w:rsid w:val="00304B0A"/>
    <w:rsid w:val="0030619F"/>
    <w:rsid w:val="00310159"/>
    <w:rsid w:val="003111DC"/>
    <w:rsid w:val="00311F82"/>
    <w:rsid w:val="00312E25"/>
    <w:rsid w:val="003179C1"/>
    <w:rsid w:val="003215A6"/>
    <w:rsid w:val="00321D1B"/>
    <w:rsid w:val="00324E5D"/>
    <w:rsid w:val="003257E7"/>
    <w:rsid w:val="00326E2C"/>
    <w:rsid w:val="00327176"/>
    <w:rsid w:val="00327441"/>
    <w:rsid w:val="00327DFC"/>
    <w:rsid w:val="003324A1"/>
    <w:rsid w:val="00332937"/>
    <w:rsid w:val="00333CE0"/>
    <w:rsid w:val="00337845"/>
    <w:rsid w:val="00337BBE"/>
    <w:rsid w:val="0034000A"/>
    <w:rsid w:val="00340E0D"/>
    <w:rsid w:val="00341855"/>
    <w:rsid w:val="0034233B"/>
    <w:rsid w:val="00343570"/>
    <w:rsid w:val="003478F3"/>
    <w:rsid w:val="003506E9"/>
    <w:rsid w:val="00353264"/>
    <w:rsid w:val="00353C54"/>
    <w:rsid w:val="003543C3"/>
    <w:rsid w:val="00354F6C"/>
    <w:rsid w:val="00356C22"/>
    <w:rsid w:val="0035737B"/>
    <w:rsid w:val="003576B1"/>
    <w:rsid w:val="00357820"/>
    <w:rsid w:val="0036016D"/>
    <w:rsid w:val="00361945"/>
    <w:rsid w:val="003619B9"/>
    <w:rsid w:val="00363744"/>
    <w:rsid w:val="003716F3"/>
    <w:rsid w:val="00372A68"/>
    <w:rsid w:val="00372F9D"/>
    <w:rsid w:val="00374D6D"/>
    <w:rsid w:val="00374DD6"/>
    <w:rsid w:val="0038421E"/>
    <w:rsid w:val="003850F5"/>
    <w:rsid w:val="00386663"/>
    <w:rsid w:val="00390A15"/>
    <w:rsid w:val="00391490"/>
    <w:rsid w:val="00392A5B"/>
    <w:rsid w:val="00393185"/>
    <w:rsid w:val="00393332"/>
    <w:rsid w:val="00393AFA"/>
    <w:rsid w:val="00394AFA"/>
    <w:rsid w:val="00394F59"/>
    <w:rsid w:val="003954A7"/>
    <w:rsid w:val="003A0B24"/>
    <w:rsid w:val="003A22FB"/>
    <w:rsid w:val="003A3D11"/>
    <w:rsid w:val="003A4A11"/>
    <w:rsid w:val="003A5EBC"/>
    <w:rsid w:val="003A65E1"/>
    <w:rsid w:val="003B0D04"/>
    <w:rsid w:val="003B0FF2"/>
    <w:rsid w:val="003B3308"/>
    <w:rsid w:val="003B33C1"/>
    <w:rsid w:val="003B3B74"/>
    <w:rsid w:val="003B3FBC"/>
    <w:rsid w:val="003B5CA9"/>
    <w:rsid w:val="003B70E0"/>
    <w:rsid w:val="003C024D"/>
    <w:rsid w:val="003C0564"/>
    <w:rsid w:val="003C4337"/>
    <w:rsid w:val="003C6558"/>
    <w:rsid w:val="003C678A"/>
    <w:rsid w:val="003D6927"/>
    <w:rsid w:val="003D6E82"/>
    <w:rsid w:val="003E0781"/>
    <w:rsid w:val="003E1B7A"/>
    <w:rsid w:val="003E23C2"/>
    <w:rsid w:val="003E31C3"/>
    <w:rsid w:val="003E378B"/>
    <w:rsid w:val="003E4E34"/>
    <w:rsid w:val="003E5F61"/>
    <w:rsid w:val="003F0380"/>
    <w:rsid w:val="003F0701"/>
    <w:rsid w:val="003F23A7"/>
    <w:rsid w:val="003F2742"/>
    <w:rsid w:val="003F3868"/>
    <w:rsid w:val="003F3E4D"/>
    <w:rsid w:val="003F6024"/>
    <w:rsid w:val="003F77B4"/>
    <w:rsid w:val="003F7B45"/>
    <w:rsid w:val="00401381"/>
    <w:rsid w:val="00401432"/>
    <w:rsid w:val="004026BB"/>
    <w:rsid w:val="00402917"/>
    <w:rsid w:val="00406443"/>
    <w:rsid w:val="0041250D"/>
    <w:rsid w:val="0041483A"/>
    <w:rsid w:val="00415B88"/>
    <w:rsid w:val="00417449"/>
    <w:rsid w:val="00417CDD"/>
    <w:rsid w:val="00417D40"/>
    <w:rsid w:val="004215F0"/>
    <w:rsid w:val="00422205"/>
    <w:rsid w:val="00422C08"/>
    <w:rsid w:val="00425D09"/>
    <w:rsid w:val="00427665"/>
    <w:rsid w:val="00427745"/>
    <w:rsid w:val="00427915"/>
    <w:rsid w:val="00431E13"/>
    <w:rsid w:val="00432BA1"/>
    <w:rsid w:val="0043362C"/>
    <w:rsid w:val="00434D0A"/>
    <w:rsid w:val="00436512"/>
    <w:rsid w:val="0043770E"/>
    <w:rsid w:val="00437C6F"/>
    <w:rsid w:val="0044479F"/>
    <w:rsid w:val="00445B08"/>
    <w:rsid w:val="004461EF"/>
    <w:rsid w:val="004464A9"/>
    <w:rsid w:val="00450F36"/>
    <w:rsid w:val="0045337C"/>
    <w:rsid w:val="00455818"/>
    <w:rsid w:val="00456822"/>
    <w:rsid w:val="0046081B"/>
    <w:rsid w:val="00460F2E"/>
    <w:rsid w:val="00461D03"/>
    <w:rsid w:val="004633C1"/>
    <w:rsid w:val="00464469"/>
    <w:rsid w:val="0046616A"/>
    <w:rsid w:val="00466325"/>
    <w:rsid w:val="00466A9A"/>
    <w:rsid w:val="00467287"/>
    <w:rsid w:val="00470BBF"/>
    <w:rsid w:val="00471892"/>
    <w:rsid w:val="00471B16"/>
    <w:rsid w:val="00471F89"/>
    <w:rsid w:val="00472527"/>
    <w:rsid w:val="00473850"/>
    <w:rsid w:val="004752E0"/>
    <w:rsid w:val="00475703"/>
    <w:rsid w:val="00477CE6"/>
    <w:rsid w:val="00482823"/>
    <w:rsid w:val="0048401D"/>
    <w:rsid w:val="0048584B"/>
    <w:rsid w:val="00485975"/>
    <w:rsid w:val="004861F8"/>
    <w:rsid w:val="004875E1"/>
    <w:rsid w:val="00487EBD"/>
    <w:rsid w:val="0049032F"/>
    <w:rsid w:val="004926F3"/>
    <w:rsid w:val="004946CC"/>
    <w:rsid w:val="00495D2F"/>
    <w:rsid w:val="004979A3"/>
    <w:rsid w:val="004A1ACF"/>
    <w:rsid w:val="004A2769"/>
    <w:rsid w:val="004A480F"/>
    <w:rsid w:val="004A6713"/>
    <w:rsid w:val="004A7061"/>
    <w:rsid w:val="004A73D0"/>
    <w:rsid w:val="004A78F9"/>
    <w:rsid w:val="004B21FB"/>
    <w:rsid w:val="004B27B0"/>
    <w:rsid w:val="004C02F8"/>
    <w:rsid w:val="004C397E"/>
    <w:rsid w:val="004C46D5"/>
    <w:rsid w:val="004C4CD5"/>
    <w:rsid w:val="004C5A21"/>
    <w:rsid w:val="004C62F4"/>
    <w:rsid w:val="004D022F"/>
    <w:rsid w:val="004D054D"/>
    <w:rsid w:val="004D0596"/>
    <w:rsid w:val="004D282F"/>
    <w:rsid w:val="004D55ED"/>
    <w:rsid w:val="004D6205"/>
    <w:rsid w:val="004D6335"/>
    <w:rsid w:val="004D7737"/>
    <w:rsid w:val="004D7CA0"/>
    <w:rsid w:val="004E4609"/>
    <w:rsid w:val="004E4647"/>
    <w:rsid w:val="004E503C"/>
    <w:rsid w:val="004E5662"/>
    <w:rsid w:val="004E6862"/>
    <w:rsid w:val="004E6D37"/>
    <w:rsid w:val="004E7555"/>
    <w:rsid w:val="004F0450"/>
    <w:rsid w:val="004F1674"/>
    <w:rsid w:val="004F1F70"/>
    <w:rsid w:val="004F2567"/>
    <w:rsid w:val="004F348A"/>
    <w:rsid w:val="004F3C89"/>
    <w:rsid w:val="0050029C"/>
    <w:rsid w:val="00500BAF"/>
    <w:rsid w:val="0050175E"/>
    <w:rsid w:val="005025A3"/>
    <w:rsid w:val="0050315A"/>
    <w:rsid w:val="005051AF"/>
    <w:rsid w:val="0050639B"/>
    <w:rsid w:val="00506AFA"/>
    <w:rsid w:val="00507581"/>
    <w:rsid w:val="005122FE"/>
    <w:rsid w:val="00513029"/>
    <w:rsid w:val="005142CD"/>
    <w:rsid w:val="005159B0"/>
    <w:rsid w:val="00515C8F"/>
    <w:rsid w:val="00517390"/>
    <w:rsid w:val="005207B7"/>
    <w:rsid w:val="005217F6"/>
    <w:rsid w:val="00521D71"/>
    <w:rsid w:val="00521F12"/>
    <w:rsid w:val="00523155"/>
    <w:rsid w:val="005231C5"/>
    <w:rsid w:val="0052373C"/>
    <w:rsid w:val="005239DC"/>
    <w:rsid w:val="00523F55"/>
    <w:rsid w:val="00525AFE"/>
    <w:rsid w:val="00531353"/>
    <w:rsid w:val="00531727"/>
    <w:rsid w:val="00531814"/>
    <w:rsid w:val="00531CCE"/>
    <w:rsid w:val="00533FB6"/>
    <w:rsid w:val="00537E95"/>
    <w:rsid w:val="00537F39"/>
    <w:rsid w:val="0054056B"/>
    <w:rsid w:val="00540F58"/>
    <w:rsid w:val="00541BBE"/>
    <w:rsid w:val="00545027"/>
    <w:rsid w:val="005514C1"/>
    <w:rsid w:val="0055217C"/>
    <w:rsid w:val="005524DE"/>
    <w:rsid w:val="00552BE6"/>
    <w:rsid w:val="00554FB6"/>
    <w:rsid w:val="00560287"/>
    <w:rsid w:val="00560B4B"/>
    <w:rsid w:val="005633BE"/>
    <w:rsid w:val="00563483"/>
    <w:rsid w:val="00564B34"/>
    <w:rsid w:val="00565897"/>
    <w:rsid w:val="00566565"/>
    <w:rsid w:val="0056656E"/>
    <w:rsid w:val="0056665E"/>
    <w:rsid w:val="0057320B"/>
    <w:rsid w:val="00573AFB"/>
    <w:rsid w:val="0057442B"/>
    <w:rsid w:val="00574517"/>
    <w:rsid w:val="00580F19"/>
    <w:rsid w:val="005819DC"/>
    <w:rsid w:val="00582183"/>
    <w:rsid w:val="00582318"/>
    <w:rsid w:val="00582B56"/>
    <w:rsid w:val="005840B7"/>
    <w:rsid w:val="005864F5"/>
    <w:rsid w:val="00594902"/>
    <w:rsid w:val="00595302"/>
    <w:rsid w:val="005A112A"/>
    <w:rsid w:val="005A4FCF"/>
    <w:rsid w:val="005A5217"/>
    <w:rsid w:val="005A5883"/>
    <w:rsid w:val="005A7448"/>
    <w:rsid w:val="005B0FBD"/>
    <w:rsid w:val="005B18FB"/>
    <w:rsid w:val="005B504F"/>
    <w:rsid w:val="005B5949"/>
    <w:rsid w:val="005B7452"/>
    <w:rsid w:val="005C173C"/>
    <w:rsid w:val="005C3659"/>
    <w:rsid w:val="005C3D46"/>
    <w:rsid w:val="005C4D7B"/>
    <w:rsid w:val="005C5A74"/>
    <w:rsid w:val="005C5D21"/>
    <w:rsid w:val="005C78C2"/>
    <w:rsid w:val="005D0015"/>
    <w:rsid w:val="005D1CB2"/>
    <w:rsid w:val="005D2C96"/>
    <w:rsid w:val="005D5010"/>
    <w:rsid w:val="005D57D8"/>
    <w:rsid w:val="005D6FE3"/>
    <w:rsid w:val="005E0A4F"/>
    <w:rsid w:val="005E1BA1"/>
    <w:rsid w:val="005E258B"/>
    <w:rsid w:val="005E3C72"/>
    <w:rsid w:val="005E7ABF"/>
    <w:rsid w:val="005F03B3"/>
    <w:rsid w:val="005F0613"/>
    <w:rsid w:val="005F1186"/>
    <w:rsid w:val="005F21D0"/>
    <w:rsid w:val="005F2CE8"/>
    <w:rsid w:val="005F3642"/>
    <w:rsid w:val="005F6F31"/>
    <w:rsid w:val="00600E4E"/>
    <w:rsid w:val="00601284"/>
    <w:rsid w:val="00604B52"/>
    <w:rsid w:val="00611C15"/>
    <w:rsid w:val="006120DF"/>
    <w:rsid w:val="006128A6"/>
    <w:rsid w:val="006136F1"/>
    <w:rsid w:val="0061657F"/>
    <w:rsid w:val="00620D4C"/>
    <w:rsid w:val="00621F45"/>
    <w:rsid w:val="006305BB"/>
    <w:rsid w:val="006313C8"/>
    <w:rsid w:val="00632516"/>
    <w:rsid w:val="006369BB"/>
    <w:rsid w:val="00640CC4"/>
    <w:rsid w:val="006423AC"/>
    <w:rsid w:val="006433E4"/>
    <w:rsid w:val="0064377B"/>
    <w:rsid w:val="0064478B"/>
    <w:rsid w:val="006460E4"/>
    <w:rsid w:val="006464A1"/>
    <w:rsid w:val="00646D8D"/>
    <w:rsid w:val="00647799"/>
    <w:rsid w:val="00650FC9"/>
    <w:rsid w:val="00651FF0"/>
    <w:rsid w:val="0065249D"/>
    <w:rsid w:val="00653415"/>
    <w:rsid w:val="00657346"/>
    <w:rsid w:val="00661782"/>
    <w:rsid w:val="00663208"/>
    <w:rsid w:val="00663F54"/>
    <w:rsid w:val="00664CBE"/>
    <w:rsid w:val="00664F73"/>
    <w:rsid w:val="006652BA"/>
    <w:rsid w:val="0066685A"/>
    <w:rsid w:val="006671B4"/>
    <w:rsid w:val="00671BA7"/>
    <w:rsid w:val="00673C28"/>
    <w:rsid w:val="00673E75"/>
    <w:rsid w:val="00674890"/>
    <w:rsid w:val="006753E5"/>
    <w:rsid w:val="00676F9F"/>
    <w:rsid w:val="00681CFF"/>
    <w:rsid w:val="006832FF"/>
    <w:rsid w:val="00684AF2"/>
    <w:rsid w:val="00685150"/>
    <w:rsid w:val="00685403"/>
    <w:rsid w:val="0068673B"/>
    <w:rsid w:val="0068710D"/>
    <w:rsid w:val="00691243"/>
    <w:rsid w:val="006949E9"/>
    <w:rsid w:val="00694A55"/>
    <w:rsid w:val="006A0FFF"/>
    <w:rsid w:val="006A1143"/>
    <w:rsid w:val="006A42B6"/>
    <w:rsid w:val="006A65C2"/>
    <w:rsid w:val="006A7854"/>
    <w:rsid w:val="006B0F79"/>
    <w:rsid w:val="006B11F8"/>
    <w:rsid w:val="006B646A"/>
    <w:rsid w:val="006B6A13"/>
    <w:rsid w:val="006B70D0"/>
    <w:rsid w:val="006B7911"/>
    <w:rsid w:val="006B79D3"/>
    <w:rsid w:val="006C04A8"/>
    <w:rsid w:val="006C09EC"/>
    <w:rsid w:val="006C2973"/>
    <w:rsid w:val="006C50D9"/>
    <w:rsid w:val="006C5198"/>
    <w:rsid w:val="006C6541"/>
    <w:rsid w:val="006C6685"/>
    <w:rsid w:val="006C72BA"/>
    <w:rsid w:val="006D0B56"/>
    <w:rsid w:val="006D12D5"/>
    <w:rsid w:val="006D1340"/>
    <w:rsid w:val="006D2C75"/>
    <w:rsid w:val="006D48DA"/>
    <w:rsid w:val="006D6385"/>
    <w:rsid w:val="006E2148"/>
    <w:rsid w:val="006E3695"/>
    <w:rsid w:val="006E653E"/>
    <w:rsid w:val="006F0965"/>
    <w:rsid w:val="006F156B"/>
    <w:rsid w:val="006F1E4D"/>
    <w:rsid w:val="006F2628"/>
    <w:rsid w:val="006F2BF9"/>
    <w:rsid w:val="006F2C8B"/>
    <w:rsid w:val="006F463F"/>
    <w:rsid w:val="006F6484"/>
    <w:rsid w:val="006F75ED"/>
    <w:rsid w:val="006F7F4B"/>
    <w:rsid w:val="00700144"/>
    <w:rsid w:val="0070139D"/>
    <w:rsid w:val="007025D6"/>
    <w:rsid w:val="0070465C"/>
    <w:rsid w:val="00706355"/>
    <w:rsid w:val="00706461"/>
    <w:rsid w:val="00707F99"/>
    <w:rsid w:val="00710500"/>
    <w:rsid w:val="0071166C"/>
    <w:rsid w:val="007127C1"/>
    <w:rsid w:val="00713D09"/>
    <w:rsid w:val="00716A68"/>
    <w:rsid w:val="00717D10"/>
    <w:rsid w:val="007219B3"/>
    <w:rsid w:val="00722BBB"/>
    <w:rsid w:val="00723B45"/>
    <w:rsid w:val="00724049"/>
    <w:rsid w:val="00724738"/>
    <w:rsid w:val="00727225"/>
    <w:rsid w:val="007272E4"/>
    <w:rsid w:val="00727E2B"/>
    <w:rsid w:val="00730391"/>
    <w:rsid w:val="00731640"/>
    <w:rsid w:val="00735A94"/>
    <w:rsid w:val="007362D5"/>
    <w:rsid w:val="007409B4"/>
    <w:rsid w:val="00742012"/>
    <w:rsid w:val="007462E3"/>
    <w:rsid w:val="0075160E"/>
    <w:rsid w:val="0075465F"/>
    <w:rsid w:val="0075658D"/>
    <w:rsid w:val="007566F9"/>
    <w:rsid w:val="00756BBB"/>
    <w:rsid w:val="00756BC6"/>
    <w:rsid w:val="00757AA7"/>
    <w:rsid w:val="0076183F"/>
    <w:rsid w:val="00765D4B"/>
    <w:rsid w:val="00767A85"/>
    <w:rsid w:val="00770CBE"/>
    <w:rsid w:val="00771B5A"/>
    <w:rsid w:val="007755CE"/>
    <w:rsid w:val="00776778"/>
    <w:rsid w:val="00777826"/>
    <w:rsid w:val="00777B49"/>
    <w:rsid w:val="00780A01"/>
    <w:rsid w:val="007820C9"/>
    <w:rsid w:val="00783FF0"/>
    <w:rsid w:val="00784D37"/>
    <w:rsid w:val="00786BCE"/>
    <w:rsid w:val="0079011B"/>
    <w:rsid w:val="00790EF8"/>
    <w:rsid w:val="007912B2"/>
    <w:rsid w:val="00791AB0"/>
    <w:rsid w:val="00792FD2"/>
    <w:rsid w:val="00795A3A"/>
    <w:rsid w:val="00797CFC"/>
    <w:rsid w:val="007A0318"/>
    <w:rsid w:val="007A0706"/>
    <w:rsid w:val="007A1B9F"/>
    <w:rsid w:val="007A47A0"/>
    <w:rsid w:val="007A54B4"/>
    <w:rsid w:val="007A56B8"/>
    <w:rsid w:val="007A58FA"/>
    <w:rsid w:val="007A6281"/>
    <w:rsid w:val="007A697A"/>
    <w:rsid w:val="007B0B11"/>
    <w:rsid w:val="007B0D2C"/>
    <w:rsid w:val="007B10C6"/>
    <w:rsid w:val="007B43BB"/>
    <w:rsid w:val="007B516A"/>
    <w:rsid w:val="007B56D9"/>
    <w:rsid w:val="007B5D3B"/>
    <w:rsid w:val="007B6061"/>
    <w:rsid w:val="007B61E8"/>
    <w:rsid w:val="007B7376"/>
    <w:rsid w:val="007C1723"/>
    <w:rsid w:val="007C2ACF"/>
    <w:rsid w:val="007C3EE9"/>
    <w:rsid w:val="007C50D1"/>
    <w:rsid w:val="007C6592"/>
    <w:rsid w:val="007D2CC6"/>
    <w:rsid w:val="007D2D71"/>
    <w:rsid w:val="007D6737"/>
    <w:rsid w:val="007E0C79"/>
    <w:rsid w:val="007E176D"/>
    <w:rsid w:val="007E199E"/>
    <w:rsid w:val="007E4252"/>
    <w:rsid w:val="007E4697"/>
    <w:rsid w:val="007E4C2C"/>
    <w:rsid w:val="007E6104"/>
    <w:rsid w:val="007E62DB"/>
    <w:rsid w:val="007E73EC"/>
    <w:rsid w:val="007F156B"/>
    <w:rsid w:val="007F19D1"/>
    <w:rsid w:val="007F5B23"/>
    <w:rsid w:val="007F5EE9"/>
    <w:rsid w:val="007F60D1"/>
    <w:rsid w:val="0080156A"/>
    <w:rsid w:val="00806E09"/>
    <w:rsid w:val="00810858"/>
    <w:rsid w:val="00810DAB"/>
    <w:rsid w:val="00812A1C"/>
    <w:rsid w:val="00815863"/>
    <w:rsid w:val="00815DFA"/>
    <w:rsid w:val="00815FAD"/>
    <w:rsid w:val="00816446"/>
    <w:rsid w:val="00816B9D"/>
    <w:rsid w:val="00820BD7"/>
    <w:rsid w:val="00820E25"/>
    <w:rsid w:val="00820EE7"/>
    <w:rsid w:val="008213C0"/>
    <w:rsid w:val="00821FFA"/>
    <w:rsid w:val="00822E79"/>
    <w:rsid w:val="00825512"/>
    <w:rsid w:val="00830354"/>
    <w:rsid w:val="008309D5"/>
    <w:rsid w:val="00831564"/>
    <w:rsid w:val="008319C2"/>
    <w:rsid w:val="00831E30"/>
    <w:rsid w:val="0083517B"/>
    <w:rsid w:val="00836C34"/>
    <w:rsid w:val="00840ECA"/>
    <w:rsid w:val="00843030"/>
    <w:rsid w:val="008433AB"/>
    <w:rsid w:val="00847215"/>
    <w:rsid w:val="00847616"/>
    <w:rsid w:val="0084784B"/>
    <w:rsid w:val="00850121"/>
    <w:rsid w:val="00850180"/>
    <w:rsid w:val="0085119B"/>
    <w:rsid w:val="008535FC"/>
    <w:rsid w:val="00853711"/>
    <w:rsid w:val="00853985"/>
    <w:rsid w:val="00856843"/>
    <w:rsid w:val="008625A3"/>
    <w:rsid w:val="008627E8"/>
    <w:rsid w:val="008630AC"/>
    <w:rsid w:val="008631B1"/>
    <w:rsid w:val="008635D2"/>
    <w:rsid w:val="008663EB"/>
    <w:rsid w:val="00866A27"/>
    <w:rsid w:val="0087091B"/>
    <w:rsid w:val="00872747"/>
    <w:rsid w:val="00874403"/>
    <w:rsid w:val="00876B09"/>
    <w:rsid w:val="0087790A"/>
    <w:rsid w:val="0088008C"/>
    <w:rsid w:val="00880803"/>
    <w:rsid w:val="008808CC"/>
    <w:rsid w:val="00880E39"/>
    <w:rsid w:val="00882411"/>
    <w:rsid w:val="008867E7"/>
    <w:rsid w:val="008868AF"/>
    <w:rsid w:val="00891DEF"/>
    <w:rsid w:val="0089401A"/>
    <w:rsid w:val="008950BA"/>
    <w:rsid w:val="00895709"/>
    <w:rsid w:val="00896A6E"/>
    <w:rsid w:val="00897DAE"/>
    <w:rsid w:val="008A044A"/>
    <w:rsid w:val="008A2A85"/>
    <w:rsid w:val="008A2E99"/>
    <w:rsid w:val="008A3742"/>
    <w:rsid w:val="008A3FCF"/>
    <w:rsid w:val="008A4BE4"/>
    <w:rsid w:val="008A4CF2"/>
    <w:rsid w:val="008A56A5"/>
    <w:rsid w:val="008A5D3D"/>
    <w:rsid w:val="008A665E"/>
    <w:rsid w:val="008A6ADF"/>
    <w:rsid w:val="008A7185"/>
    <w:rsid w:val="008A77D2"/>
    <w:rsid w:val="008A7CFF"/>
    <w:rsid w:val="008B0E27"/>
    <w:rsid w:val="008B28C9"/>
    <w:rsid w:val="008B2CBB"/>
    <w:rsid w:val="008B2F8B"/>
    <w:rsid w:val="008B3286"/>
    <w:rsid w:val="008B3EB2"/>
    <w:rsid w:val="008B401A"/>
    <w:rsid w:val="008B40E9"/>
    <w:rsid w:val="008B4EBD"/>
    <w:rsid w:val="008B5037"/>
    <w:rsid w:val="008B6453"/>
    <w:rsid w:val="008B6F73"/>
    <w:rsid w:val="008B7C5E"/>
    <w:rsid w:val="008C018C"/>
    <w:rsid w:val="008C0AAE"/>
    <w:rsid w:val="008C1018"/>
    <w:rsid w:val="008C1B64"/>
    <w:rsid w:val="008C2867"/>
    <w:rsid w:val="008C40FB"/>
    <w:rsid w:val="008C46D8"/>
    <w:rsid w:val="008C618E"/>
    <w:rsid w:val="008C7578"/>
    <w:rsid w:val="008D17B4"/>
    <w:rsid w:val="008D2387"/>
    <w:rsid w:val="008D42E7"/>
    <w:rsid w:val="008D4E51"/>
    <w:rsid w:val="008D559A"/>
    <w:rsid w:val="008D55BC"/>
    <w:rsid w:val="008D7417"/>
    <w:rsid w:val="008E1331"/>
    <w:rsid w:val="008E189E"/>
    <w:rsid w:val="008F0E90"/>
    <w:rsid w:val="008F2FBD"/>
    <w:rsid w:val="008F316C"/>
    <w:rsid w:val="008F516C"/>
    <w:rsid w:val="008F5E7F"/>
    <w:rsid w:val="008F7F74"/>
    <w:rsid w:val="00900981"/>
    <w:rsid w:val="00902505"/>
    <w:rsid w:val="00902F32"/>
    <w:rsid w:val="009047A5"/>
    <w:rsid w:val="00906C37"/>
    <w:rsid w:val="00910134"/>
    <w:rsid w:val="009124A3"/>
    <w:rsid w:val="00912BB7"/>
    <w:rsid w:val="0091417C"/>
    <w:rsid w:val="0091738C"/>
    <w:rsid w:val="00917697"/>
    <w:rsid w:val="0092107C"/>
    <w:rsid w:val="00924B05"/>
    <w:rsid w:val="00925428"/>
    <w:rsid w:val="009278B3"/>
    <w:rsid w:val="009303CA"/>
    <w:rsid w:val="009317AE"/>
    <w:rsid w:val="00932C35"/>
    <w:rsid w:val="00932E7B"/>
    <w:rsid w:val="0093326C"/>
    <w:rsid w:val="0093391E"/>
    <w:rsid w:val="00934BFE"/>
    <w:rsid w:val="00934CE6"/>
    <w:rsid w:val="00935F23"/>
    <w:rsid w:val="009404E1"/>
    <w:rsid w:val="009407EA"/>
    <w:rsid w:val="009407F6"/>
    <w:rsid w:val="00941BB9"/>
    <w:rsid w:val="00943871"/>
    <w:rsid w:val="00943A84"/>
    <w:rsid w:val="00947558"/>
    <w:rsid w:val="00947AC1"/>
    <w:rsid w:val="0095068A"/>
    <w:rsid w:val="00950906"/>
    <w:rsid w:val="0095106B"/>
    <w:rsid w:val="00951469"/>
    <w:rsid w:val="009514DA"/>
    <w:rsid w:val="00953FCC"/>
    <w:rsid w:val="00954585"/>
    <w:rsid w:val="00956E51"/>
    <w:rsid w:val="0095779E"/>
    <w:rsid w:val="00957F3A"/>
    <w:rsid w:val="00962D69"/>
    <w:rsid w:val="00965C55"/>
    <w:rsid w:val="0096608B"/>
    <w:rsid w:val="00967A59"/>
    <w:rsid w:val="00973E45"/>
    <w:rsid w:val="00973EE1"/>
    <w:rsid w:val="00974BA6"/>
    <w:rsid w:val="00980DB7"/>
    <w:rsid w:val="0098119D"/>
    <w:rsid w:val="00981597"/>
    <w:rsid w:val="00981DCC"/>
    <w:rsid w:val="00983B7C"/>
    <w:rsid w:val="009866FE"/>
    <w:rsid w:val="00986BEF"/>
    <w:rsid w:val="0098788F"/>
    <w:rsid w:val="00987920"/>
    <w:rsid w:val="0099178C"/>
    <w:rsid w:val="009929C5"/>
    <w:rsid w:val="00992DDD"/>
    <w:rsid w:val="009937D5"/>
    <w:rsid w:val="00995304"/>
    <w:rsid w:val="0099663D"/>
    <w:rsid w:val="009A0148"/>
    <w:rsid w:val="009A2B9A"/>
    <w:rsid w:val="009A32E7"/>
    <w:rsid w:val="009A518F"/>
    <w:rsid w:val="009A71F4"/>
    <w:rsid w:val="009B1FDA"/>
    <w:rsid w:val="009B5473"/>
    <w:rsid w:val="009B78D3"/>
    <w:rsid w:val="009C1CF2"/>
    <w:rsid w:val="009C2FC8"/>
    <w:rsid w:val="009C371B"/>
    <w:rsid w:val="009C41A5"/>
    <w:rsid w:val="009C5868"/>
    <w:rsid w:val="009C73E7"/>
    <w:rsid w:val="009D151B"/>
    <w:rsid w:val="009D3E0A"/>
    <w:rsid w:val="009D6D22"/>
    <w:rsid w:val="009E0C39"/>
    <w:rsid w:val="009E37DB"/>
    <w:rsid w:val="009E5388"/>
    <w:rsid w:val="009E7AAA"/>
    <w:rsid w:val="009F010B"/>
    <w:rsid w:val="009F1F0D"/>
    <w:rsid w:val="009F20ED"/>
    <w:rsid w:val="009F29CF"/>
    <w:rsid w:val="009F2A0D"/>
    <w:rsid w:val="009F345D"/>
    <w:rsid w:val="00A00F8E"/>
    <w:rsid w:val="00A01026"/>
    <w:rsid w:val="00A024E8"/>
    <w:rsid w:val="00A13881"/>
    <w:rsid w:val="00A13B28"/>
    <w:rsid w:val="00A15835"/>
    <w:rsid w:val="00A16453"/>
    <w:rsid w:val="00A16E12"/>
    <w:rsid w:val="00A17E3F"/>
    <w:rsid w:val="00A20409"/>
    <w:rsid w:val="00A24004"/>
    <w:rsid w:val="00A24484"/>
    <w:rsid w:val="00A250D7"/>
    <w:rsid w:val="00A257F2"/>
    <w:rsid w:val="00A25DE0"/>
    <w:rsid w:val="00A2647B"/>
    <w:rsid w:val="00A310DE"/>
    <w:rsid w:val="00A3583F"/>
    <w:rsid w:val="00A36AD3"/>
    <w:rsid w:val="00A375C1"/>
    <w:rsid w:val="00A4056A"/>
    <w:rsid w:val="00A40648"/>
    <w:rsid w:val="00A436D2"/>
    <w:rsid w:val="00A43821"/>
    <w:rsid w:val="00A4619D"/>
    <w:rsid w:val="00A50C9D"/>
    <w:rsid w:val="00A51284"/>
    <w:rsid w:val="00A51CF4"/>
    <w:rsid w:val="00A52609"/>
    <w:rsid w:val="00A52771"/>
    <w:rsid w:val="00A548E3"/>
    <w:rsid w:val="00A55192"/>
    <w:rsid w:val="00A55F21"/>
    <w:rsid w:val="00A6102C"/>
    <w:rsid w:val="00A642F7"/>
    <w:rsid w:val="00A64D4E"/>
    <w:rsid w:val="00A67640"/>
    <w:rsid w:val="00A67817"/>
    <w:rsid w:val="00A72C29"/>
    <w:rsid w:val="00A730C4"/>
    <w:rsid w:val="00A731AF"/>
    <w:rsid w:val="00A7368E"/>
    <w:rsid w:val="00A7460F"/>
    <w:rsid w:val="00A74631"/>
    <w:rsid w:val="00A76A18"/>
    <w:rsid w:val="00A84B2D"/>
    <w:rsid w:val="00A87806"/>
    <w:rsid w:val="00A91838"/>
    <w:rsid w:val="00A9275A"/>
    <w:rsid w:val="00A92C3D"/>
    <w:rsid w:val="00A9355A"/>
    <w:rsid w:val="00A93BB4"/>
    <w:rsid w:val="00A9460A"/>
    <w:rsid w:val="00A94805"/>
    <w:rsid w:val="00A95438"/>
    <w:rsid w:val="00A961BD"/>
    <w:rsid w:val="00A965C8"/>
    <w:rsid w:val="00AA2AD2"/>
    <w:rsid w:val="00AA3F0A"/>
    <w:rsid w:val="00AA45EC"/>
    <w:rsid w:val="00AA6406"/>
    <w:rsid w:val="00AA68DF"/>
    <w:rsid w:val="00AA70FF"/>
    <w:rsid w:val="00AB0464"/>
    <w:rsid w:val="00AB2E19"/>
    <w:rsid w:val="00AB3F07"/>
    <w:rsid w:val="00AB57A4"/>
    <w:rsid w:val="00AB5EA1"/>
    <w:rsid w:val="00AB6D17"/>
    <w:rsid w:val="00AC0592"/>
    <w:rsid w:val="00AC0945"/>
    <w:rsid w:val="00AC0F25"/>
    <w:rsid w:val="00AD1E22"/>
    <w:rsid w:val="00AD1F62"/>
    <w:rsid w:val="00AD5D1E"/>
    <w:rsid w:val="00AD6071"/>
    <w:rsid w:val="00AD7BC7"/>
    <w:rsid w:val="00AD7DC5"/>
    <w:rsid w:val="00AE0079"/>
    <w:rsid w:val="00AE02F4"/>
    <w:rsid w:val="00AE044F"/>
    <w:rsid w:val="00AE0E48"/>
    <w:rsid w:val="00AE1427"/>
    <w:rsid w:val="00AE2117"/>
    <w:rsid w:val="00AE66D7"/>
    <w:rsid w:val="00AE77F0"/>
    <w:rsid w:val="00AF151F"/>
    <w:rsid w:val="00AF3951"/>
    <w:rsid w:val="00AF54D3"/>
    <w:rsid w:val="00AF59E9"/>
    <w:rsid w:val="00B00D2B"/>
    <w:rsid w:val="00B0145F"/>
    <w:rsid w:val="00B028B0"/>
    <w:rsid w:val="00B02F49"/>
    <w:rsid w:val="00B03616"/>
    <w:rsid w:val="00B04D70"/>
    <w:rsid w:val="00B0533E"/>
    <w:rsid w:val="00B05424"/>
    <w:rsid w:val="00B05AE2"/>
    <w:rsid w:val="00B05CBC"/>
    <w:rsid w:val="00B128E7"/>
    <w:rsid w:val="00B13CBE"/>
    <w:rsid w:val="00B15F08"/>
    <w:rsid w:val="00B2283D"/>
    <w:rsid w:val="00B2385B"/>
    <w:rsid w:val="00B2393E"/>
    <w:rsid w:val="00B24E73"/>
    <w:rsid w:val="00B250A6"/>
    <w:rsid w:val="00B27BE7"/>
    <w:rsid w:val="00B30B0F"/>
    <w:rsid w:val="00B3251B"/>
    <w:rsid w:val="00B32565"/>
    <w:rsid w:val="00B32DE2"/>
    <w:rsid w:val="00B3604C"/>
    <w:rsid w:val="00B41195"/>
    <w:rsid w:val="00B421AF"/>
    <w:rsid w:val="00B42591"/>
    <w:rsid w:val="00B42CC5"/>
    <w:rsid w:val="00B42E16"/>
    <w:rsid w:val="00B43CAF"/>
    <w:rsid w:val="00B47893"/>
    <w:rsid w:val="00B51632"/>
    <w:rsid w:val="00B53D14"/>
    <w:rsid w:val="00B545C8"/>
    <w:rsid w:val="00B5465E"/>
    <w:rsid w:val="00B55B9E"/>
    <w:rsid w:val="00B60106"/>
    <w:rsid w:val="00B61376"/>
    <w:rsid w:val="00B62B1C"/>
    <w:rsid w:val="00B631A8"/>
    <w:rsid w:val="00B63C0B"/>
    <w:rsid w:val="00B63DD8"/>
    <w:rsid w:val="00B64D1E"/>
    <w:rsid w:val="00B67CA9"/>
    <w:rsid w:val="00B70FCE"/>
    <w:rsid w:val="00B7148C"/>
    <w:rsid w:val="00B723EB"/>
    <w:rsid w:val="00B74C85"/>
    <w:rsid w:val="00B753F7"/>
    <w:rsid w:val="00B75663"/>
    <w:rsid w:val="00B75822"/>
    <w:rsid w:val="00B7742A"/>
    <w:rsid w:val="00B851F2"/>
    <w:rsid w:val="00B85CFA"/>
    <w:rsid w:val="00B861B7"/>
    <w:rsid w:val="00B8656A"/>
    <w:rsid w:val="00B8672E"/>
    <w:rsid w:val="00B922BE"/>
    <w:rsid w:val="00B94699"/>
    <w:rsid w:val="00B94D1C"/>
    <w:rsid w:val="00B95B0C"/>
    <w:rsid w:val="00B95C17"/>
    <w:rsid w:val="00B96239"/>
    <w:rsid w:val="00B9745B"/>
    <w:rsid w:val="00B97A92"/>
    <w:rsid w:val="00BA030B"/>
    <w:rsid w:val="00BA4713"/>
    <w:rsid w:val="00BA517B"/>
    <w:rsid w:val="00BA5584"/>
    <w:rsid w:val="00BA68CA"/>
    <w:rsid w:val="00BA6C9B"/>
    <w:rsid w:val="00BB4115"/>
    <w:rsid w:val="00BB5544"/>
    <w:rsid w:val="00BB6203"/>
    <w:rsid w:val="00BB6E89"/>
    <w:rsid w:val="00BB73E3"/>
    <w:rsid w:val="00BB7ADF"/>
    <w:rsid w:val="00BC1814"/>
    <w:rsid w:val="00BC397A"/>
    <w:rsid w:val="00BC53BE"/>
    <w:rsid w:val="00BD1DCF"/>
    <w:rsid w:val="00BD2C63"/>
    <w:rsid w:val="00BD4A1C"/>
    <w:rsid w:val="00BE2F42"/>
    <w:rsid w:val="00BE4B94"/>
    <w:rsid w:val="00BF1EB4"/>
    <w:rsid w:val="00BF29DF"/>
    <w:rsid w:val="00BF3CD1"/>
    <w:rsid w:val="00BF778A"/>
    <w:rsid w:val="00BF7EBD"/>
    <w:rsid w:val="00C0005F"/>
    <w:rsid w:val="00C01821"/>
    <w:rsid w:val="00C01C02"/>
    <w:rsid w:val="00C02A57"/>
    <w:rsid w:val="00C03523"/>
    <w:rsid w:val="00C0589E"/>
    <w:rsid w:val="00C06569"/>
    <w:rsid w:val="00C07ADB"/>
    <w:rsid w:val="00C10274"/>
    <w:rsid w:val="00C10D68"/>
    <w:rsid w:val="00C117E3"/>
    <w:rsid w:val="00C12137"/>
    <w:rsid w:val="00C12AC3"/>
    <w:rsid w:val="00C17B7C"/>
    <w:rsid w:val="00C20497"/>
    <w:rsid w:val="00C224DB"/>
    <w:rsid w:val="00C22A77"/>
    <w:rsid w:val="00C234CF"/>
    <w:rsid w:val="00C23DAB"/>
    <w:rsid w:val="00C23E41"/>
    <w:rsid w:val="00C24605"/>
    <w:rsid w:val="00C2589E"/>
    <w:rsid w:val="00C32AB2"/>
    <w:rsid w:val="00C3336F"/>
    <w:rsid w:val="00C35A61"/>
    <w:rsid w:val="00C36302"/>
    <w:rsid w:val="00C36CB4"/>
    <w:rsid w:val="00C4487D"/>
    <w:rsid w:val="00C46C51"/>
    <w:rsid w:val="00C47375"/>
    <w:rsid w:val="00C47D64"/>
    <w:rsid w:val="00C518F7"/>
    <w:rsid w:val="00C51FAE"/>
    <w:rsid w:val="00C52212"/>
    <w:rsid w:val="00C527BF"/>
    <w:rsid w:val="00C52BBE"/>
    <w:rsid w:val="00C52E07"/>
    <w:rsid w:val="00C5323E"/>
    <w:rsid w:val="00C53DA3"/>
    <w:rsid w:val="00C542D8"/>
    <w:rsid w:val="00C55B27"/>
    <w:rsid w:val="00C5699E"/>
    <w:rsid w:val="00C61747"/>
    <w:rsid w:val="00C61B26"/>
    <w:rsid w:val="00C6278A"/>
    <w:rsid w:val="00C62EA4"/>
    <w:rsid w:val="00C65E82"/>
    <w:rsid w:val="00C65EB5"/>
    <w:rsid w:val="00C71015"/>
    <w:rsid w:val="00C741E1"/>
    <w:rsid w:val="00C74A5B"/>
    <w:rsid w:val="00C7512E"/>
    <w:rsid w:val="00C75DC3"/>
    <w:rsid w:val="00C778E0"/>
    <w:rsid w:val="00C814D0"/>
    <w:rsid w:val="00C827DA"/>
    <w:rsid w:val="00C83645"/>
    <w:rsid w:val="00C8565C"/>
    <w:rsid w:val="00C8604C"/>
    <w:rsid w:val="00C86FB5"/>
    <w:rsid w:val="00C87D7C"/>
    <w:rsid w:val="00C90B3A"/>
    <w:rsid w:val="00C910AE"/>
    <w:rsid w:val="00C910FD"/>
    <w:rsid w:val="00C914F8"/>
    <w:rsid w:val="00C92D66"/>
    <w:rsid w:val="00C95BF1"/>
    <w:rsid w:val="00CA4159"/>
    <w:rsid w:val="00CA4B31"/>
    <w:rsid w:val="00CA7277"/>
    <w:rsid w:val="00CB61E0"/>
    <w:rsid w:val="00CB6ECE"/>
    <w:rsid w:val="00CB754A"/>
    <w:rsid w:val="00CC0768"/>
    <w:rsid w:val="00CC1AD8"/>
    <w:rsid w:val="00CC2655"/>
    <w:rsid w:val="00CC304D"/>
    <w:rsid w:val="00CC7957"/>
    <w:rsid w:val="00CC7EB5"/>
    <w:rsid w:val="00CD1364"/>
    <w:rsid w:val="00CD2098"/>
    <w:rsid w:val="00CD3D29"/>
    <w:rsid w:val="00CD4918"/>
    <w:rsid w:val="00CD4BC2"/>
    <w:rsid w:val="00CD67AC"/>
    <w:rsid w:val="00CD6F4C"/>
    <w:rsid w:val="00CD74AA"/>
    <w:rsid w:val="00CD7AA8"/>
    <w:rsid w:val="00CE1A00"/>
    <w:rsid w:val="00CE27FF"/>
    <w:rsid w:val="00CE39EC"/>
    <w:rsid w:val="00CE4624"/>
    <w:rsid w:val="00CE481F"/>
    <w:rsid w:val="00CE490B"/>
    <w:rsid w:val="00CE697F"/>
    <w:rsid w:val="00CF054B"/>
    <w:rsid w:val="00CF0EB3"/>
    <w:rsid w:val="00CF679B"/>
    <w:rsid w:val="00CF6B09"/>
    <w:rsid w:val="00CF6F75"/>
    <w:rsid w:val="00CF7AD9"/>
    <w:rsid w:val="00D01035"/>
    <w:rsid w:val="00D0501B"/>
    <w:rsid w:val="00D052B5"/>
    <w:rsid w:val="00D06F53"/>
    <w:rsid w:val="00D07197"/>
    <w:rsid w:val="00D074DB"/>
    <w:rsid w:val="00D13C4F"/>
    <w:rsid w:val="00D15529"/>
    <w:rsid w:val="00D159DB"/>
    <w:rsid w:val="00D173E1"/>
    <w:rsid w:val="00D201AE"/>
    <w:rsid w:val="00D20847"/>
    <w:rsid w:val="00D2186B"/>
    <w:rsid w:val="00D22066"/>
    <w:rsid w:val="00D22172"/>
    <w:rsid w:val="00D23E49"/>
    <w:rsid w:val="00D2467F"/>
    <w:rsid w:val="00D24C2D"/>
    <w:rsid w:val="00D25362"/>
    <w:rsid w:val="00D25ED1"/>
    <w:rsid w:val="00D27192"/>
    <w:rsid w:val="00D30534"/>
    <w:rsid w:val="00D30823"/>
    <w:rsid w:val="00D31265"/>
    <w:rsid w:val="00D31A3B"/>
    <w:rsid w:val="00D323F8"/>
    <w:rsid w:val="00D33947"/>
    <w:rsid w:val="00D34BEE"/>
    <w:rsid w:val="00D36753"/>
    <w:rsid w:val="00D372CB"/>
    <w:rsid w:val="00D37B05"/>
    <w:rsid w:val="00D409FB"/>
    <w:rsid w:val="00D414C3"/>
    <w:rsid w:val="00D42DB9"/>
    <w:rsid w:val="00D4409B"/>
    <w:rsid w:val="00D45447"/>
    <w:rsid w:val="00D4585A"/>
    <w:rsid w:val="00D46ABA"/>
    <w:rsid w:val="00D515FA"/>
    <w:rsid w:val="00D53B5B"/>
    <w:rsid w:val="00D53C14"/>
    <w:rsid w:val="00D5450A"/>
    <w:rsid w:val="00D54577"/>
    <w:rsid w:val="00D5537E"/>
    <w:rsid w:val="00D55BC5"/>
    <w:rsid w:val="00D56DAA"/>
    <w:rsid w:val="00D5714F"/>
    <w:rsid w:val="00D576A2"/>
    <w:rsid w:val="00D60E7D"/>
    <w:rsid w:val="00D61B63"/>
    <w:rsid w:val="00D63B3F"/>
    <w:rsid w:val="00D64B47"/>
    <w:rsid w:val="00D66211"/>
    <w:rsid w:val="00D72AA0"/>
    <w:rsid w:val="00D7581E"/>
    <w:rsid w:val="00D77152"/>
    <w:rsid w:val="00D818A8"/>
    <w:rsid w:val="00D83BD7"/>
    <w:rsid w:val="00D84042"/>
    <w:rsid w:val="00D8451C"/>
    <w:rsid w:val="00D84CA6"/>
    <w:rsid w:val="00D84EF4"/>
    <w:rsid w:val="00D87812"/>
    <w:rsid w:val="00D87958"/>
    <w:rsid w:val="00D87AE5"/>
    <w:rsid w:val="00D90C28"/>
    <w:rsid w:val="00D92D60"/>
    <w:rsid w:val="00D9459B"/>
    <w:rsid w:val="00D94623"/>
    <w:rsid w:val="00D9486C"/>
    <w:rsid w:val="00D96642"/>
    <w:rsid w:val="00D97923"/>
    <w:rsid w:val="00DA07C2"/>
    <w:rsid w:val="00DA23EB"/>
    <w:rsid w:val="00DA2A18"/>
    <w:rsid w:val="00DA6059"/>
    <w:rsid w:val="00DA6AB2"/>
    <w:rsid w:val="00DA7DE5"/>
    <w:rsid w:val="00DB02A7"/>
    <w:rsid w:val="00DB075E"/>
    <w:rsid w:val="00DB081F"/>
    <w:rsid w:val="00DB191E"/>
    <w:rsid w:val="00DB3964"/>
    <w:rsid w:val="00DB3E77"/>
    <w:rsid w:val="00DB715C"/>
    <w:rsid w:val="00DB7F2A"/>
    <w:rsid w:val="00DC0A00"/>
    <w:rsid w:val="00DC1CEA"/>
    <w:rsid w:val="00DC1EF6"/>
    <w:rsid w:val="00DC2F51"/>
    <w:rsid w:val="00DC328A"/>
    <w:rsid w:val="00DC346A"/>
    <w:rsid w:val="00DC406B"/>
    <w:rsid w:val="00DD0157"/>
    <w:rsid w:val="00DD41E0"/>
    <w:rsid w:val="00DD471A"/>
    <w:rsid w:val="00DD4802"/>
    <w:rsid w:val="00DD56EA"/>
    <w:rsid w:val="00DD5B84"/>
    <w:rsid w:val="00DD5D97"/>
    <w:rsid w:val="00DD654E"/>
    <w:rsid w:val="00DE3D7A"/>
    <w:rsid w:val="00DE67E8"/>
    <w:rsid w:val="00DF087E"/>
    <w:rsid w:val="00DF11F3"/>
    <w:rsid w:val="00DF159E"/>
    <w:rsid w:val="00DF21B5"/>
    <w:rsid w:val="00DF3AA6"/>
    <w:rsid w:val="00DF424C"/>
    <w:rsid w:val="00DF46DA"/>
    <w:rsid w:val="00DF4B48"/>
    <w:rsid w:val="00DF55D9"/>
    <w:rsid w:val="00E002AC"/>
    <w:rsid w:val="00E02283"/>
    <w:rsid w:val="00E02BC5"/>
    <w:rsid w:val="00E046BA"/>
    <w:rsid w:val="00E04C41"/>
    <w:rsid w:val="00E05F1E"/>
    <w:rsid w:val="00E11CF0"/>
    <w:rsid w:val="00E13FA1"/>
    <w:rsid w:val="00E14455"/>
    <w:rsid w:val="00E16694"/>
    <w:rsid w:val="00E1685B"/>
    <w:rsid w:val="00E2232A"/>
    <w:rsid w:val="00E24704"/>
    <w:rsid w:val="00E25C46"/>
    <w:rsid w:val="00E26F38"/>
    <w:rsid w:val="00E270B5"/>
    <w:rsid w:val="00E30941"/>
    <w:rsid w:val="00E3103C"/>
    <w:rsid w:val="00E3355C"/>
    <w:rsid w:val="00E375F9"/>
    <w:rsid w:val="00E37BCD"/>
    <w:rsid w:val="00E40085"/>
    <w:rsid w:val="00E40D18"/>
    <w:rsid w:val="00E40E6B"/>
    <w:rsid w:val="00E429F4"/>
    <w:rsid w:val="00E46B0D"/>
    <w:rsid w:val="00E502FA"/>
    <w:rsid w:val="00E52B76"/>
    <w:rsid w:val="00E53F47"/>
    <w:rsid w:val="00E55708"/>
    <w:rsid w:val="00E601FF"/>
    <w:rsid w:val="00E62F4E"/>
    <w:rsid w:val="00E6373B"/>
    <w:rsid w:val="00E63F2B"/>
    <w:rsid w:val="00E6779C"/>
    <w:rsid w:val="00E67C3A"/>
    <w:rsid w:val="00E71893"/>
    <w:rsid w:val="00E7270A"/>
    <w:rsid w:val="00E7402A"/>
    <w:rsid w:val="00E8267A"/>
    <w:rsid w:val="00E83180"/>
    <w:rsid w:val="00E83D3F"/>
    <w:rsid w:val="00E8483E"/>
    <w:rsid w:val="00E86A2E"/>
    <w:rsid w:val="00E86F4D"/>
    <w:rsid w:val="00E9048A"/>
    <w:rsid w:val="00E923B8"/>
    <w:rsid w:val="00E93330"/>
    <w:rsid w:val="00E94B7B"/>
    <w:rsid w:val="00E9585C"/>
    <w:rsid w:val="00E977F0"/>
    <w:rsid w:val="00EA1C48"/>
    <w:rsid w:val="00EA1FD8"/>
    <w:rsid w:val="00EA2C8D"/>
    <w:rsid w:val="00EA30E5"/>
    <w:rsid w:val="00EA3135"/>
    <w:rsid w:val="00EA3355"/>
    <w:rsid w:val="00EA41CF"/>
    <w:rsid w:val="00EA5E6A"/>
    <w:rsid w:val="00EA605D"/>
    <w:rsid w:val="00EA66AF"/>
    <w:rsid w:val="00EA7D2A"/>
    <w:rsid w:val="00EB0554"/>
    <w:rsid w:val="00EB05E4"/>
    <w:rsid w:val="00EB1893"/>
    <w:rsid w:val="00EB1A24"/>
    <w:rsid w:val="00EB33EE"/>
    <w:rsid w:val="00EB5A79"/>
    <w:rsid w:val="00EB5AE7"/>
    <w:rsid w:val="00EB7622"/>
    <w:rsid w:val="00EB7724"/>
    <w:rsid w:val="00EB7EC4"/>
    <w:rsid w:val="00EC002B"/>
    <w:rsid w:val="00EC0B4F"/>
    <w:rsid w:val="00EC5081"/>
    <w:rsid w:val="00EC6DEB"/>
    <w:rsid w:val="00EC7524"/>
    <w:rsid w:val="00ED000A"/>
    <w:rsid w:val="00ED00F0"/>
    <w:rsid w:val="00ED2ACE"/>
    <w:rsid w:val="00ED4CCB"/>
    <w:rsid w:val="00ED6928"/>
    <w:rsid w:val="00EE0F0C"/>
    <w:rsid w:val="00EE1EAF"/>
    <w:rsid w:val="00EE30EC"/>
    <w:rsid w:val="00EE42CE"/>
    <w:rsid w:val="00EE551C"/>
    <w:rsid w:val="00EE68C8"/>
    <w:rsid w:val="00EE6C38"/>
    <w:rsid w:val="00EE7A43"/>
    <w:rsid w:val="00EF066C"/>
    <w:rsid w:val="00EF0C24"/>
    <w:rsid w:val="00EF4639"/>
    <w:rsid w:val="00EF5234"/>
    <w:rsid w:val="00EF673E"/>
    <w:rsid w:val="00EF7F9D"/>
    <w:rsid w:val="00F00DAF"/>
    <w:rsid w:val="00F04299"/>
    <w:rsid w:val="00F062A3"/>
    <w:rsid w:val="00F06811"/>
    <w:rsid w:val="00F10511"/>
    <w:rsid w:val="00F12B8A"/>
    <w:rsid w:val="00F17BA6"/>
    <w:rsid w:val="00F205BD"/>
    <w:rsid w:val="00F2226A"/>
    <w:rsid w:val="00F22A90"/>
    <w:rsid w:val="00F22C62"/>
    <w:rsid w:val="00F23455"/>
    <w:rsid w:val="00F26B28"/>
    <w:rsid w:val="00F26B7B"/>
    <w:rsid w:val="00F27844"/>
    <w:rsid w:val="00F30FDA"/>
    <w:rsid w:val="00F313A5"/>
    <w:rsid w:val="00F32082"/>
    <w:rsid w:val="00F33CC8"/>
    <w:rsid w:val="00F36874"/>
    <w:rsid w:val="00F36DBA"/>
    <w:rsid w:val="00F36FB0"/>
    <w:rsid w:val="00F40E8D"/>
    <w:rsid w:val="00F40E9E"/>
    <w:rsid w:val="00F43672"/>
    <w:rsid w:val="00F43ED1"/>
    <w:rsid w:val="00F452C4"/>
    <w:rsid w:val="00F461D8"/>
    <w:rsid w:val="00F509D2"/>
    <w:rsid w:val="00F54206"/>
    <w:rsid w:val="00F55A28"/>
    <w:rsid w:val="00F57A28"/>
    <w:rsid w:val="00F57D8D"/>
    <w:rsid w:val="00F60384"/>
    <w:rsid w:val="00F6189F"/>
    <w:rsid w:val="00F633BC"/>
    <w:rsid w:val="00F633CC"/>
    <w:rsid w:val="00F64FCC"/>
    <w:rsid w:val="00F66073"/>
    <w:rsid w:val="00F67639"/>
    <w:rsid w:val="00F705AB"/>
    <w:rsid w:val="00F71E82"/>
    <w:rsid w:val="00F75B69"/>
    <w:rsid w:val="00F77E54"/>
    <w:rsid w:val="00F81023"/>
    <w:rsid w:val="00F81D8C"/>
    <w:rsid w:val="00F82228"/>
    <w:rsid w:val="00F844E4"/>
    <w:rsid w:val="00F864DC"/>
    <w:rsid w:val="00F91258"/>
    <w:rsid w:val="00F92468"/>
    <w:rsid w:val="00F95408"/>
    <w:rsid w:val="00F95A62"/>
    <w:rsid w:val="00FA107A"/>
    <w:rsid w:val="00FA2D30"/>
    <w:rsid w:val="00FA474A"/>
    <w:rsid w:val="00FA5A22"/>
    <w:rsid w:val="00FA5AD3"/>
    <w:rsid w:val="00FA653A"/>
    <w:rsid w:val="00FB2D65"/>
    <w:rsid w:val="00FB2F6F"/>
    <w:rsid w:val="00FB37B6"/>
    <w:rsid w:val="00FB3E39"/>
    <w:rsid w:val="00FB3F96"/>
    <w:rsid w:val="00FB77A6"/>
    <w:rsid w:val="00FB7BEC"/>
    <w:rsid w:val="00FC0534"/>
    <w:rsid w:val="00FC0FE8"/>
    <w:rsid w:val="00FC18E4"/>
    <w:rsid w:val="00FC1ED0"/>
    <w:rsid w:val="00FC20E6"/>
    <w:rsid w:val="00FC2FA6"/>
    <w:rsid w:val="00FC406E"/>
    <w:rsid w:val="00FC440E"/>
    <w:rsid w:val="00FC6323"/>
    <w:rsid w:val="00FC6AF8"/>
    <w:rsid w:val="00FC74E1"/>
    <w:rsid w:val="00FD06B3"/>
    <w:rsid w:val="00FD0FF2"/>
    <w:rsid w:val="00FD1421"/>
    <w:rsid w:val="00FD1949"/>
    <w:rsid w:val="00FD4FBF"/>
    <w:rsid w:val="00FD5B69"/>
    <w:rsid w:val="00FD5C84"/>
    <w:rsid w:val="00FD7CF2"/>
    <w:rsid w:val="00FE0307"/>
    <w:rsid w:val="00FE1A84"/>
    <w:rsid w:val="00FE2F83"/>
    <w:rsid w:val="00FE33A7"/>
    <w:rsid w:val="00FE56F8"/>
    <w:rsid w:val="00FE5E17"/>
    <w:rsid w:val="00FE6740"/>
    <w:rsid w:val="00FE7400"/>
    <w:rsid w:val="00FE76D2"/>
    <w:rsid w:val="00FE7D6F"/>
    <w:rsid w:val="00FF0595"/>
    <w:rsid w:val="00FF0B1E"/>
    <w:rsid w:val="00FF1B60"/>
    <w:rsid w:val="00FF288F"/>
    <w:rsid w:val="00FF345C"/>
    <w:rsid w:val="00FF3577"/>
    <w:rsid w:val="00FF45EF"/>
    <w:rsid w:val="00FF5774"/>
    <w:rsid w:val="137F341D"/>
    <w:rsid w:val="18C91BF9"/>
    <w:rsid w:val="340257F1"/>
    <w:rsid w:val="3A4D76BD"/>
    <w:rsid w:val="3BFB18D2"/>
    <w:rsid w:val="3D597AE4"/>
    <w:rsid w:val="42D06D21"/>
    <w:rsid w:val="4972116E"/>
    <w:rsid w:val="53746A06"/>
    <w:rsid w:val="59A41C3A"/>
    <w:rsid w:val="73CD6893"/>
    <w:rsid w:val="7A7370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1"/>
    <w:qFormat/>
    <w:uiPriority w:val="99"/>
    <w:pPr>
      <w:keepNext/>
      <w:keepLines/>
      <w:numPr>
        <w:ilvl w:val="0"/>
        <w:numId w:val="1"/>
      </w:numPr>
      <w:spacing w:beforeLines="100" w:afterLines="100" w:line="360" w:lineRule="auto"/>
      <w:jc w:val="center"/>
      <w:outlineLvl w:val="0"/>
    </w:pPr>
    <w:rPr>
      <w:rFonts w:eastAsia="微软雅黑"/>
      <w:b/>
      <w:bCs/>
      <w:kern w:val="44"/>
      <w:sz w:val="36"/>
      <w:szCs w:val="44"/>
    </w:rPr>
  </w:style>
  <w:style w:type="paragraph" w:styleId="4">
    <w:name w:val="heading 2"/>
    <w:basedOn w:val="1"/>
    <w:next w:val="1"/>
    <w:link w:val="32"/>
    <w:qFormat/>
    <w:uiPriority w:val="0"/>
    <w:pPr>
      <w:keepNext/>
      <w:keepLines/>
      <w:numPr>
        <w:ilvl w:val="0"/>
        <w:numId w:val="2"/>
      </w:numPr>
      <w:spacing w:line="360" w:lineRule="auto"/>
      <w:outlineLvl w:val="1"/>
    </w:pPr>
    <w:rPr>
      <w:rFonts w:ascii="Arial" w:hAnsi="Arial"/>
      <w:b/>
      <w:bCs/>
      <w:sz w:val="28"/>
      <w:szCs w:val="32"/>
    </w:rPr>
  </w:style>
  <w:style w:type="paragraph" w:styleId="5">
    <w:name w:val="heading 3"/>
    <w:basedOn w:val="1"/>
    <w:next w:val="1"/>
    <w:link w:val="33"/>
    <w:qFormat/>
    <w:uiPriority w:val="0"/>
    <w:pPr>
      <w:keepNext/>
      <w:keepLines/>
      <w:outlineLvl w:val="2"/>
    </w:pPr>
    <w:rPr>
      <w:rFonts w:ascii="宋体" w:hAnsi="宋体" w:eastAsia="黑体"/>
      <w:bCs/>
      <w:sz w:val="24"/>
      <w:szCs w:val="28"/>
    </w:rPr>
  </w:style>
  <w:style w:type="paragraph" w:styleId="6">
    <w:name w:val="heading 5"/>
    <w:basedOn w:val="1"/>
    <w:next w:val="1"/>
    <w:link w:val="34"/>
    <w:unhideWhenUsed/>
    <w:qFormat/>
    <w:uiPriority w:val="9"/>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2">
    <w:name w:val="Body Text"/>
    <w:basedOn w:val="1"/>
    <w:link w:val="30"/>
    <w:qFormat/>
    <w:uiPriority w:val="0"/>
    <w:pPr>
      <w:spacing w:after="120"/>
    </w:pPr>
  </w:style>
  <w:style w:type="paragraph" w:styleId="7">
    <w:name w:val="Normal Indent"/>
    <w:basedOn w:val="1"/>
    <w:qFormat/>
    <w:uiPriority w:val="0"/>
    <w:pPr>
      <w:ind w:firstLine="420"/>
    </w:pPr>
    <w:rPr>
      <w:szCs w:val="20"/>
    </w:rPr>
  </w:style>
  <w:style w:type="paragraph" w:styleId="8">
    <w:name w:val="annotation text"/>
    <w:basedOn w:val="1"/>
    <w:link w:val="35"/>
    <w:qFormat/>
    <w:uiPriority w:val="0"/>
    <w:pPr>
      <w:jc w:val="left"/>
    </w:pPr>
  </w:style>
  <w:style w:type="paragraph" w:styleId="9">
    <w:name w:val="Body Text 3"/>
    <w:basedOn w:val="1"/>
    <w:link w:val="36"/>
    <w:qFormat/>
    <w:uiPriority w:val="0"/>
    <w:pPr>
      <w:spacing w:beforeLines="50"/>
    </w:pPr>
    <w:rPr>
      <w:rFonts w:ascii="宋体" w:hAnsi="宋体"/>
      <w:szCs w:val="20"/>
    </w:rPr>
  </w:style>
  <w:style w:type="paragraph" w:styleId="10">
    <w:name w:val="Body Text Indent"/>
    <w:basedOn w:val="1"/>
    <w:next w:val="11"/>
    <w:link w:val="37"/>
    <w:qFormat/>
    <w:uiPriority w:val="0"/>
    <w:pPr>
      <w:spacing w:after="120"/>
      <w:ind w:left="420" w:leftChars="200"/>
    </w:pPr>
  </w:style>
  <w:style w:type="paragraph" w:styleId="11">
    <w:name w:val="envelope return"/>
    <w:basedOn w:val="1"/>
    <w:unhideWhenUsed/>
    <w:qFormat/>
    <w:uiPriority w:val="99"/>
    <w:pPr>
      <w:snapToGrid w:val="0"/>
      <w:ind w:firstLine="200"/>
    </w:pPr>
    <w:rPr>
      <w:rFonts w:ascii="Arial" w:hAnsi="Arial" w:cs="Arial"/>
      <w:szCs w:val="20"/>
    </w:rPr>
  </w:style>
  <w:style w:type="paragraph" w:styleId="12">
    <w:name w:val="toc 3"/>
    <w:basedOn w:val="1"/>
    <w:next w:val="1"/>
    <w:qFormat/>
    <w:uiPriority w:val="39"/>
    <w:pPr>
      <w:ind w:left="840" w:leftChars="400"/>
    </w:pPr>
  </w:style>
  <w:style w:type="paragraph" w:styleId="13">
    <w:name w:val="Plain Text"/>
    <w:basedOn w:val="1"/>
    <w:link w:val="38"/>
    <w:qFormat/>
    <w:uiPriority w:val="0"/>
    <w:rPr>
      <w:rFonts w:ascii="宋体" w:hAnsi="Courier New"/>
      <w:szCs w:val="20"/>
    </w:rPr>
  </w:style>
  <w:style w:type="paragraph" w:styleId="14">
    <w:name w:val="Balloon Text"/>
    <w:basedOn w:val="1"/>
    <w:link w:val="53"/>
    <w:qFormat/>
    <w:uiPriority w:val="0"/>
    <w:rPr>
      <w:sz w:val="18"/>
      <w:szCs w:val="18"/>
    </w:rPr>
  </w:style>
  <w:style w:type="paragraph" w:styleId="15">
    <w:name w:val="footer"/>
    <w:basedOn w:val="1"/>
    <w:link w:val="39"/>
    <w:qFormat/>
    <w:uiPriority w:val="99"/>
    <w:pPr>
      <w:tabs>
        <w:tab w:val="center" w:pos="4153"/>
        <w:tab w:val="right" w:pos="8306"/>
      </w:tabs>
      <w:snapToGrid w:val="0"/>
      <w:jc w:val="left"/>
    </w:pPr>
    <w:rPr>
      <w:sz w:val="18"/>
      <w:szCs w:val="18"/>
    </w:rPr>
  </w:style>
  <w:style w:type="paragraph" w:styleId="16">
    <w:name w:val="header"/>
    <w:basedOn w:val="1"/>
    <w:link w:val="4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spacing w:before="120" w:after="120"/>
      <w:jc w:val="left"/>
    </w:pPr>
    <w:rPr>
      <w:rFonts w:cs="Calibri"/>
      <w:b/>
      <w:bCs/>
      <w:caps/>
      <w:sz w:val="20"/>
      <w:szCs w:val="20"/>
    </w:rPr>
  </w:style>
  <w:style w:type="paragraph" w:styleId="18">
    <w:name w:val="footnote text"/>
    <w:basedOn w:val="1"/>
    <w:link w:val="41"/>
    <w:unhideWhenUsed/>
    <w:qFormat/>
    <w:uiPriority w:val="0"/>
    <w:pPr>
      <w:snapToGrid w:val="0"/>
      <w:jc w:val="left"/>
    </w:pPr>
    <w:rPr>
      <w:sz w:val="18"/>
      <w:szCs w:val="18"/>
    </w:rPr>
  </w:style>
  <w:style w:type="paragraph" w:styleId="19">
    <w:name w:val="toc 2"/>
    <w:basedOn w:val="1"/>
    <w:next w:val="1"/>
    <w:qFormat/>
    <w:uiPriority w:val="39"/>
    <w:pPr>
      <w:ind w:left="420" w:leftChars="200"/>
    </w:pPr>
  </w:style>
  <w:style w:type="paragraph" w:styleId="20">
    <w:name w:val="Normal (Web)"/>
    <w:qFormat/>
    <w:uiPriority w:val="0"/>
    <w:pPr>
      <w:spacing w:before="100" w:beforeAutospacing="1" w:after="100" w:afterAutospacing="1"/>
    </w:pPr>
    <w:rPr>
      <w:rFonts w:ascii="宋体" w:hAnsi="宋体" w:eastAsia="宋体" w:cs="宋体"/>
      <w:sz w:val="24"/>
      <w:szCs w:val="24"/>
      <w:lang w:val="en-US" w:eastAsia="zh-CN" w:bidi="ar-SA"/>
    </w:rPr>
  </w:style>
  <w:style w:type="paragraph" w:styleId="21">
    <w:name w:val="index 1"/>
    <w:basedOn w:val="1"/>
    <w:next w:val="1"/>
    <w:qFormat/>
    <w:uiPriority w:val="0"/>
    <w:pPr>
      <w:spacing w:line="220" w:lineRule="exact"/>
      <w:jc w:val="center"/>
    </w:pPr>
    <w:rPr>
      <w:rFonts w:ascii="仿宋_GB2312" w:eastAsia="仿宋_GB2312"/>
      <w:szCs w:val="21"/>
    </w:rPr>
  </w:style>
  <w:style w:type="paragraph" w:styleId="22">
    <w:name w:val="annotation subject"/>
    <w:basedOn w:val="8"/>
    <w:next w:val="8"/>
    <w:link w:val="54"/>
    <w:qFormat/>
    <w:uiPriority w:val="0"/>
    <w:rPr>
      <w:b/>
      <w:bCs/>
    </w:rPr>
  </w:style>
  <w:style w:type="paragraph" w:styleId="23">
    <w:name w:val="Body Text First Indent 2"/>
    <w:basedOn w:val="10"/>
    <w:link w:val="57"/>
    <w:unhideWhenUsed/>
    <w:qFormat/>
    <w:uiPriority w:val="99"/>
    <w:pPr>
      <w:ind w:firstLine="420" w:firstLineChars="200"/>
    </w:pPr>
  </w:style>
  <w:style w:type="character" w:styleId="26">
    <w:name w:val="page number"/>
    <w:basedOn w:val="25"/>
    <w:qFormat/>
    <w:uiPriority w:val="0"/>
  </w:style>
  <w:style w:type="character" w:styleId="27">
    <w:name w:val="Hyperlink"/>
    <w:basedOn w:val="25"/>
    <w:unhideWhenUsed/>
    <w:qFormat/>
    <w:uiPriority w:val="99"/>
    <w:rPr>
      <w:color w:val="0000FF" w:themeColor="hyperlink"/>
      <w:u w:val="single"/>
      <w14:textFill>
        <w14:solidFill>
          <w14:schemeClr w14:val="hlink"/>
        </w14:solidFill>
      </w14:textFill>
    </w:rPr>
  </w:style>
  <w:style w:type="character" w:styleId="28">
    <w:name w:val="annotation reference"/>
    <w:qFormat/>
    <w:uiPriority w:val="0"/>
    <w:rPr>
      <w:sz w:val="21"/>
      <w:szCs w:val="21"/>
    </w:rPr>
  </w:style>
  <w:style w:type="character" w:styleId="29">
    <w:name w:val="footnote reference"/>
    <w:qFormat/>
    <w:uiPriority w:val="0"/>
    <w:rPr>
      <w:vertAlign w:val="superscript"/>
    </w:rPr>
  </w:style>
  <w:style w:type="character" w:customStyle="1" w:styleId="30">
    <w:name w:val="正文文本 字符"/>
    <w:basedOn w:val="25"/>
    <w:link w:val="2"/>
    <w:qFormat/>
    <w:uiPriority w:val="0"/>
    <w:rPr>
      <w:rFonts w:asciiTheme="minorHAnsi" w:hAnsiTheme="minorHAnsi" w:eastAsiaTheme="minorEastAsia" w:cstheme="minorBidi"/>
      <w:kern w:val="2"/>
      <w:sz w:val="21"/>
      <w:szCs w:val="24"/>
    </w:rPr>
  </w:style>
  <w:style w:type="character" w:customStyle="1" w:styleId="31">
    <w:name w:val="标题 1 字符"/>
    <w:basedOn w:val="25"/>
    <w:link w:val="3"/>
    <w:qFormat/>
    <w:uiPriority w:val="0"/>
    <w:rPr>
      <w:rFonts w:eastAsia="微软雅黑" w:asciiTheme="minorHAnsi" w:hAnsiTheme="minorHAnsi" w:cstheme="minorBidi"/>
      <w:b/>
      <w:bCs/>
      <w:kern w:val="44"/>
      <w:sz w:val="36"/>
      <w:szCs w:val="44"/>
    </w:rPr>
  </w:style>
  <w:style w:type="character" w:customStyle="1" w:styleId="32">
    <w:name w:val="标题 2 字符"/>
    <w:basedOn w:val="25"/>
    <w:link w:val="4"/>
    <w:qFormat/>
    <w:uiPriority w:val="0"/>
    <w:rPr>
      <w:rFonts w:ascii="Arial" w:hAnsi="Arial" w:eastAsiaTheme="minorEastAsia" w:cstheme="minorBidi"/>
      <w:b/>
      <w:bCs/>
      <w:kern w:val="2"/>
      <w:sz w:val="28"/>
      <w:szCs w:val="32"/>
    </w:rPr>
  </w:style>
  <w:style w:type="character" w:customStyle="1" w:styleId="33">
    <w:name w:val="标题 3 字符"/>
    <w:basedOn w:val="25"/>
    <w:link w:val="5"/>
    <w:qFormat/>
    <w:uiPriority w:val="0"/>
    <w:rPr>
      <w:rFonts w:ascii="宋体" w:hAnsi="宋体" w:eastAsia="黑体" w:cstheme="minorBidi"/>
      <w:bCs/>
      <w:kern w:val="2"/>
      <w:sz w:val="24"/>
      <w:szCs w:val="28"/>
    </w:rPr>
  </w:style>
  <w:style w:type="character" w:customStyle="1" w:styleId="34">
    <w:name w:val="标题 5 字符"/>
    <w:basedOn w:val="25"/>
    <w:link w:val="6"/>
    <w:qFormat/>
    <w:uiPriority w:val="9"/>
    <w:rPr>
      <w:rFonts w:asciiTheme="minorHAnsi" w:hAnsiTheme="minorHAnsi" w:eastAsiaTheme="minorEastAsia" w:cstheme="minorBidi"/>
      <w:b/>
      <w:bCs/>
      <w:kern w:val="2"/>
      <w:sz w:val="28"/>
      <w:szCs w:val="28"/>
    </w:rPr>
  </w:style>
  <w:style w:type="character" w:customStyle="1" w:styleId="35">
    <w:name w:val="批注文字 字符"/>
    <w:basedOn w:val="25"/>
    <w:link w:val="8"/>
    <w:qFormat/>
    <w:uiPriority w:val="0"/>
    <w:rPr>
      <w:rFonts w:asciiTheme="minorHAnsi" w:hAnsiTheme="minorHAnsi" w:eastAsiaTheme="minorEastAsia" w:cstheme="minorBidi"/>
      <w:kern w:val="2"/>
      <w:sz w:val="21"/>
      <w:szCs w:val="24"/>
    </w:rPr>
  </w:style>
  <w:style w:type="character" w:customStyle="1" w:styleId="36">
    <w:name w:val="正文文本 3 字符"/>
    <w:basedOn w:val="25"/>
    <w:link w:val="9"/>
    <w:qFormat/>
    <w:uiPriority w:val="0"/>
    <w:rPr>
      <w:rFonts w:ascii="宋体" w:hAnsi="宋体" w:eastAsiaTheme="minorEastAsia" w:cstheme="minorBidi"/>
      <w:kern w:val="2"/>
      <w:sz w:val="21"/>
    </w:rPr>
  </w:style>
  <w:style w:type="character" w:customStyle="1" w:styleId="37">
    <w:name w:val="正文文本缩进 字符"/>
    <w:basedOn w:val="25"/>
    <w:link w:val="10"/>
    <w:qFormat/>
    <w:uiPriority w:val="0"/>
    <w:rPr>
      <w:rFonts w:asciiTheme="minorHAnsi" w:hAnsiTheme="minorHAnsi" w:eastAsiaTheme="minorEastAsia" w:cstheme="minorBidi"/>
      <w:kern w:val="2"/>
      <w:sz w:val="21"/>
      <w:szCs w:val="24"/>
    </w:rPr>
  </w:style>
  <w:style w:type="character" w:customStyle="1" w:styleId="38">
    <w:name w:val="纯文本 字符"/>
    <w:basedOn w:val="25"/>
    <w:link w:val="13"/>
    <w:qFormat/>
    <w:uiPriority w:val="0"/>
    <w:rPr>
      <w:rFonts w:ascii="宋体" w:hAnsi="Courier New" w:eastAsiaTheme="minorEastAsia" w:cstheme="minorBidi"/>
      <w:kern w:val="2"/>
      <w:sz w:val="21"/>
    </w:rPr>
  </w:style>
  <w:style w:type="character" w:customStyle="1" w:styleId="39">
    <w:name w:val="页脚 字符"/>
    <w:basedOn w:val="25"/>
    <w:link w:val="15"/>
    <w:qFormat/>
    <w:uiPriority w:val="99"/>
    <w:rPr>
      <w:rFonts w:asciiTheme="minorHAnsi" w:hAnsiTheme="minorHAnsi" w:eastAsiaTheme="minorEastAsia" w:cstheme="minorBidi"/>
      <w:kern w:val="2"/>
      <w:sz w:val="18"/>
      <w:szCs w:val="18"/>
    </w:rPr>
  </w:style>
  <w:style w:type="character" w:customStyle="1" w:styleId="40">
    <w:name w:val="页眉 字符"/>
    <w:basedOn w:val="25"/>
    <w:link w:val="16"/>
    <w:qFormat/>
    <w:uiPriority w:val="0"/>
    <w:rPr>
      <w:rFonts w:asciiTheme="minorHAnsi" w:hAnsiTheme="minorHAnsi" w:eastAsiaTheme="minorEastAsia" w:cstheme="minorBidi"/>
      <w:kern w:val="2"/>
      <w:sz w:val="18"/>
      <w:szCs w:val="24"/>
    </w:rPr>
  </w:style>
  <w:style w:type="character" w:customStyle="1" w:styleId="41">
    <w:name w:val="脚注文本 字符"/>
    <w:basedOn w:val="25"/>
    <w:link w:val="18"/>
    <w:qFormat/>
    <w:uiPriority w:val="0"/>
    <w:rPr>
      <w:rFonts w:asciiTheme="minorHAnsi" w:hAnsiTheme="minorHAnsi" w:eastAsiaTheme="minorEastAsia" w:cstheme="minorBidi"/>
      <w:kern w:val="2"/>
      <w:sz w:val="18"/>
      <w:szCs w:val="18"/>
    </w:rPr>
  </w:style>
  <w:style w:type="paragraph" w:customStyle="1" w:styleId="42">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43">
    <w:name w:val="表格"/>
    <w:basedOn w:val="1"/>
    <w:qFormat/>
    <w:uiPriority w:val="0"/>
    <w:pPr>
      <w:textAlignment w:val="center"/>
    </w:pPr>
    <w:rPr>
      <w:rFonts w:ascii="华文细黑" w:hAnsi="华文细黑"/>
      <w:kern w:val="0"/>
      <w:szCs w:val="20"/>
    </w:rPr>
  </w:style>
  <w:style w:type="paragraph" w:customStyle="1" w:styleId="44">
    <w:name w:val="正文 题目"/>
    <w:basedOn w:val="1"/>
    <w:qFormat/>
    <w:uiPriority w:val="0"/>
    <w:pPr>
      <w:jc w:val="center"/>
    </w:pPr>
    <w:rPr>
      <w:rFonts w:ascii="黑体" w:hAnsi="黑体" w:eastAsia="黑体"/>
      <w:sz w:val="28"/>
    </w:rPr>
  </w:style>
  <w:style w:type="paragraph" w:customStyle="1" w:styleId="45">
    <w:name w:val="列出段落1"/>
    <w:basedOn w:val="1"/>
    <w:qFormat/>
    <w:uiPriority w:val="99"/>
    <w:rPr>
      <w:rFonts w:ascii="Times New Roman" w:hAnsi="Times New Roman"/>
    </w:rPr>
  </w:style>
  <w:style w:type="paragraph" w:customStyle="1" w:styleId="4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7">
    <w:name w:val="WPSOffice手动目录 1"/>
    <w:qFormat/>
    <w:uiPriority w:val="0"/>
    <w:rPr>
      <w:rFonts w:asciiTheme="minorHAnsi" w:hAnsiTheme="minorHAnsi" w:eastAsiaTheme="minorEastAsia" w:cstheme="minorBidi"/>
      <w:lang w:val="en-US" w:eastAsia="zh-CN" w:bidi="ar-SA"/>
    </w:rPr>
  </w:style>
  <w:style w:type="paragraph" w:customStyle="1" w:styleId="48">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49">
    <w:name w:val="font21"/>
    <w:basedOn w:val="25"/>
    <w:qFormat/>
    <w:uiPriority w:val="0"/>
    <w:rPr>
      <w:rFonts w:hint="eastAsia" w:ascii="宋体" w:hAnsi="宋体" w:eastAsia="宋体" w:cs="宋体"/>
      <w:color w:val="000000"/>
      <w:sz w:val="24"/>
      <w:szCs w:val="24"/>
      <w:u w:val="none"/>
    </w:rPr>
  </w:style>
  <w:style w:type="character" w:customStyle="1" w:styleId="50">
    <w:name w:val="font01"/>
    <w:basedOn w:val="25"/>
    <w:qFormat/>
    <w:uiPriority w:val="0"/>
    <w:rPr>
      <w:rFonts w:hint="default" w:ascii="Times New Roman" w:hAnsi="Times New Roman" w:cs="Times New Roman"/>
      <w:color w:val="000000"/>
      <w:sz w:val="24"/>
      <w:szCs w:val="24"/>
      <w:u w:val="none"/>
    </w:rPr>
  </w:style>
  <w:style w:type="character" w:customStyle="1" w:styleId="51">
    <w:name w:val="font11"/>
    <w:basedOn w:val="25"/>
    <w:qFormat/>
    <w:uiPriority w:val="0"/>
    <w:rPr>
      <w:rFonts w:hint="default" w:ascii="Times New Roman" w:hAnsi="Times New Roman" w:cs="Times New Roman"/>
      <w:color w:val="000000"/>
      <w:sz w:val="20"/>
      <w:szCs w:val="20"/>
      <w:u w:val="none"/>
    </w:rPr>
  </w:style>
  <w:style w:type="character" w:customStyle="1" w:styleId="52">
    <w:name w:val="font31"/>
    <w:basedOn w:val="25"/>
    <w:qFormat/>
    <w:uiPriority w:val="0"/>
    <w:rPr>
      <w:rFonts w:hint="eastAsia" w:ascii="宋体" w:hAnsi="宋体" w:eastAsia="宋体" w:cs="宋体"/>
      <w:color w:val="000000"/>
      <w:sz w:val="20"/>
      <w:szCs w:val="20"/>
      <w:u w:val="none"/>
    </w:rPr>
  </w:style>
  <w:style w:type="character" w:customStyle="1" w:styleId="53">
    <w:name w:val="批注框文本 字符"/>
    <w:basedOn w:val="25"/>
    <w:link w:val="14"/>
    <w:qFormat/>
    <w:uiPriority w:val="0"/>
    <w:rPr>
      <w:rFonts w:asciiTheme="minorHAnsi" w:hAnsiTheme="minorHAnsi" w:eastAsiaTheme="minorEastAsia" w:cstheme="minorBidi"/>
      <w:kern w:val="2"/>
      <w:sz w:val="18"/>
      <w:szCs w:val="18"/>
    </w:rPr>
  </w:style>
  <w:style w:type="character" w:customStyle="1" w:styleId="54">
    <w:name w:val="批注主题 字符"/>
    <w:basedOn w:val="35"/>
    <w:link w:val="22"/>
    <w:qFormat/>
    <w:uiPriority w:val="0"/>
    <w:rPr>
      <w:rFonts w:asciiTheme="minorHAnsi" w:hAnsiTheme="minorHAnsi" w:eastAsiaTheme="minorEastAsia" w:cstheme="minorBidi"/>
      <w:b/>
      <w:bCs/>
      <w:kern w:val="2"/>
      <w:sz w:val="21"/>
      <w:szCs w:val="24"/>
    </w:rPr>
  </w:style>
  <w:style w:type="paragraph" w:customStyle="1" w:styleId="55">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styleId="56">
    <w:name w:val="List Paragraph"/>
    <w:basedOn w:val="1"/>
    <w:unhideWhenUsed/>
    <w:qFormat/>
    <w:uiPriority w:val="99"/>
    <w:pPr>
      <w:ind w:firstLine="420" w:firstLineChars="200"/>
    </w:pPr>
  </w:style>
  <w:style w:type="character" w:customStyle="1" w:styleId="57">
    <w:name w:val="正文文本首行缩进 2 字符"/>
    <w:basedOn w:val="37"/>
    <w:link w:val="23"/>
    <w:qFormat/>
    <w:uiPriority w:val="99"/>
    <w:rPr>
      <w:rFonts w:asciiTheme="minorHAnsi" w:hAnsiTheme="minorHAnsi" w:eastAsiaTheme="minorEastAsia" w:cstheme="minorBidi"/>
      <w:kern w:val="2"/>
      <w:sz w:val="21"/>
      <w:szCs w:val="24"/>
    </w:rPr>
  </w:style>
  <w:style w:type="character" w:customStyle="1" w:styleId="58">
    <w:name w:val="正文首行缩进 2 Char1"/>
    <w:basedOn w:val="37"/>
    <w:qFormat/>
    <w:uiPriority w:val="0"/>
    <w:rPr>
      <w:rFonts w:asciiTheme="minorHAnsi" w:hAnsiTheme="minorHAnsi" w:eastAsiaTheme="minorEastAsia" w:cstheme="minorBidi"/>
      <w:kern w:val="2"/>
      <w:sz w:val="21"/>
      <w:szCs w:val="24"/>
    </w:rPr>
  </w:style>
  <w:style w:type="paragraph" w:customStyle="1" w:styleId="59">
    <w:name w:val="TOC 标题1"/>
    <w:basedOn w:val="3"/>
    <w:next w:val="1"/>
    <w:semiHidden/>
    <w:unhideWhenUsed/>
    <w:qFormat/>
    <w:uiPriority w:val="39"/>
    <w:pPr>
      <w:widowControl/>
      <w:numPr>
        <w:numId w:val="0"/>
      </w:numPr>
      <w:spacing w:beforeLines="0" w:afterLines="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60">
    <w:name w:val="Unresolved Mention"/>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4EAAE4-F391-49D4-8D42-BD71BBAD8DB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36</Pages>
  <Words>2362</Words>
  <Characters>13468</Characters>
  <Lines>112</Lines>
  <Paragraphs>31</Paragraphs>
  <TotalTime>47</TotalTime>
  <ScaleCrop>false</ScaleCrop>
  <LinksUpToDate>false</LinksUpToDate>
  <CharactersWithSpaces>15799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2021-04-09T08:02:00Z</dcterms:created>
  <dc:creator>谭玉娟</dc:creator>
  <cp:lastModifiedBy>悟</cp:lastModifiedBy>
  <cp:lastPrinted>2021-05-08T07:11:50Z</cp:lastPrinted>
  <dcterms:modified xsi:type="dcterms:W3CDTF">2021-05-08T07:56:01Z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E885B9F26E744EAA91F042C83C31BFE4</vt:lpwstr>
  </property>
</Properties>
</file>