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jc w:val="center"/>
        <w:rPr>
          <w:rFonts w:hint="eastAsia" w:asciiTheme="minorEastAsia" w:hAnsiTheme="minorEastAsia" w:eastAsiaTheme="minorEastAsia" w:cstheme="minorEastAsia"/>
          <w:b/>
          <w:bCs/>
          <w:sz w:val="48"/>
          <w:szCs w:val="48"/>
          <w:highlight w:val="none"/>
          <w:lang w:val="en-US"/>
        </w:rPr>
      </w:pPr>
      <w:r>
        <w:rPr>
          <w:rFonts w:hint="eastAsia" w:asciiTheme="minorEastAsia" w:hAnsiTheme="minorEastAsia" w:cstheme="minorEastAsia"/>
          <w:b/>
          <w:bCs/>
          <w:color w:val="00000A"/>
          <w:spacing w:val="-11"/>
          <w:w w:val="100"/>
          <w:kern w:val="0"/>
          <w:sz w:val="48"/>
          <w:szCs w:val="48"/>
          <w:highlight w:val="none"/>
          <w:lang w:val="en-US" w:eastAsia="zh-CN" w:bidi="hi-IN"/>
        </w:rPr>
        <w:t>合肥至周口高速公路寿县（保义）至颍上（南照）房建工程空气源热泵采购及安装项目</w:t>
      </w:r>
    </w:p>
    <w:p>
      <w:pPr>
        <w:pStyle w:val="7"/>
        <w:rPr>
          <w:rFonts w:ascii="Times New Roman" w:hAnsi="Times New Roman" w:cs="Times New Roman"/>
          <w:szCs w:val="21"/>
          <w:highlight w:val="none"/>
        </w:rPr>
      </w:pPr>
    </w:p>
    <w:p>
      <w:pPr>
        <w:pStyle w:val="7"/>
        <w:rPr>
          <w:rFonts w:ascii="Times New Roman" w:hAnsi="Times New Roman" w:cs="Times New Roman"/>
          <w:szCs w:val="21"/>
          <w:highlight w:val="none"/>
        </w:rPr>
      </w:pPr>
    </w:p>
    <w:p>
      <w:pPr>
        <w:pStyle w:val="7"/>
        <w:rPr>
          <w:rFonts w:ascii="Times New Roman" w:hAnsi="Times New Roman" w:cs="Times New Roman"/>
          <w:szCs w:val="21"/>
          <w:highlight w:val="none"/>
        </w:rPr>
      </w:pPr>
    </w:p>
    <w:p>
      <w:pPr>
        <w:pStyle w:val="8"/>
        <w:rPr>
          <w:rFonts w:ascii="Times New Roman" w:hAnsi="Times New Roman" w:cs="Times New Roman"/>
          <w:szCs w:val="21"/>
          <w:highlight w:val="none"/>
        </w:rPr>
      </w:pPr>
    </w:p>
    <w:p>
      <w:pPr>
        <w:jc w:val="center"/>
        <w:rPr>
          <w:rFonts w:hint="eastAsia" w:ascii="Times New Roman" w:hAnsi="Times New Roman" w:eastAsia="黑体" w:cs="Times New Roman"/>
          <w:sz w:val="72"/>
          <w:szCs w:val="72"/>
          <w:highlight w:val="none"/>
          <w:lang w:eastAsia="zh-CN"/>
        </w:rPr>
      </w:pPr>
      <w:r>
        <w:rPr>
          <w:rFonts w:ascii="Times New Roman" w:hAnsi="Times New Roman" w:eastAsia="黑体" w:cs="Times New Roman"/>
          <w:sz w:val="72"/>
          <w:szCs w:val="72"/>
          <w:highlight w:val="none"/>
        </w:rPr>
        <w:t>询  比  文  件</w:t>
      </w:r>
    </w:p>
    <w:p>
      <w:pPr>
        <w:spacing w:line="540" w:lineRule="exact"/>
        <w:ind w:firstLine="420"/>
        <w:rPr>
          <w:rFonts w:ascii="Times New Roman" w:hAnsi="Times New Roman" w:cs="Times New Roman"/>
          <w:szCs w:val="21"/>
          <w:highlight w:val="none"/>
        </w:rPr>
      </w:pPr>
    </w:p>
    <w:p>
      <w:pPr>
        <w:spacing w:line="540" w:lineRule="exact"/>
        <w:ind w:firstLine="420"/>
        <w:rPr>
          <w:rFonts w:ascii="Times New Roman" w:hAnsi="Times New Roman" w:cs="Times New Roman"/>
          <w:szCs w:val="21"/>
          <w:highlight w:val="none"/>
        </w:rPr>
      </w:pPr>
    </w:p>
    <w:p>
      <w:pPr>
        <w:spacing w:line="540" w:lineRule="exact"/>
        <w:ind w:firstLine="420"/>
        <w:rPr>
          <w:rFonts w:ascii="Times New Roman" w:hAnsi="Times New Roman" w:cs="Times New Roman"/>
          <w:szCs w:val="21"/>
          <w:highlight w:val="none"/>
        </w:rPr>
      </w:pPr>
    </w:p>
    <w:p>
      <w:pPr>
        <w:spacing w:line="540" w:lineRule="exact"/>
        <w:ind w:firstLine="420"/>
        <w:rPr>
          <w:rFonts w:ascii="Times New Roman" w:hAnsi="Times New Roman" w:cs="Times New Roman"/>
          <w:szCs w:val="21"/>
          <w:highlight w:val="none"/>
        </w:rPr>
      </w:pPr>
    </w:p>
    <w:p>
      <w:pPr>
        <w:spacing w:line="540" w:lineRule="exact"/>
        <w:ind w:firstLine="420"/>
        <w:rPr>
          <w:rFonts w:ascii="Times New Roman" w:hAnsi="Times New Roman" w:cs="Times New Roman"/>
          <w:szCs w:val="21"/>
          <w:highlight w:val="none"/>
        </w:rPr>
      </w:pPr>
    </w:p>
    <w:p>
      <w:pPr>
        <w:spacing w:line="540" w:lineRule="exact"/>
        <w:ind w:firstLine="420"/>
        <w:rPr>
          <w:rFonts w:ascii="Times New Roman" w:hAnsi="Times New Roman" w:cs="Times New Roman"/>
          <w:szCs w:val="21"/>
          <w:highlight w:val="none"/>
        </w:rPr>
      </w:pPr>
    </w:p>
    <w:p>
      <w:pPr>
        <w:spacing w:line="540" w:lineRule="exact"/>
        <w:ind w:firstLine="420"/>
        <w:rPr>
          <w:rFonts w:ascii="Times New Roman" w:hAnsi="Times New Roman" w:cs="Times New Roman"/>
          <w:szCs w:val="21"/>
          <w:highlight w:val="none"/>
        </w:rPr>
      </w:pPr>
    </w:p>
    <w:p>
      <w:pPr>
        <w:spacing w:line="540" w:lineRule="exact"/>
        <w:ind w:firstLine="420"/>
        <w:rPr>
          <w:rFonts w:ascii="Times New Roman" w:hAnsi="Times New Roman" w:cs="Times New Roman"/>
          <w:szCs w:val="21"/>
          <w:highlight w:val="none"/>
        </w:rPr>
      </w:pPr>
    </w:p>
    <w:p>
      <w:pPr>
        <w:spacing w:line="540" w:lineRule="exact"/>
        <w:ind w:firstLine="420"/>
        <w:rPr>
          <w:rFonts w:ascii="Times New Roman" w:hAnsi="Times New Roman" w:cs="Times New Roman"/>
          <w:szCs w:val="21"/>
          <w:highlight w:val="none"/>
        </w:rPr>
      </w:pPr>
    </w:p>
    <w:p>
      <w:pPr>
        <w:spacing w:line="540" w:lineRule="exact"/>
        <w:ind w:firstLine="640"/>
        <w:rPr>
          <w:rFonts w:ascii="Times New Roman" w:hAnsi="Times New Roman" w:eastAsia="黑体" w:cs="Times New Roman"/>
          <w:sz w:val="32"/>
          <w:szCs w:val="32"/>
          <w:highlight w:val="none"/>
        </w:rPr>
      </w:pPr>
    </w:p>
    <w:p>
      <w:pPr>
        <w:keepNext w:val="0"/>
        <w:keepLines w:val="0"/>
        <w:pageBreakBefore w:val="0"/>
        <w:widowControl w:val="0"/>
        <w:kinsoku/>
        <w:wordWrap/>
        <w:overflowPunct/>
        <w:topLinePunct w:val="0"/>
        <w:autoSpaceDE/>
        <w:autoSpaceDN/>
        <w:bidi w:val="0"/>
        <w:adjustRightInd/>
        <w:spacing w:line="480" w:lineRule="auto"/>
        <w:ind w:left="1896" w:leftChars="903"/>
        <w:textAlignment w:val="auto"/>
        <w:rPr>
          <w:rFonts w:ascii="Times New Roman" w:hAnsi="Times New Roman" w:cs="Times New Roman"/>
          <w:szCs w:val="21"/>
          <w:highlight w:val="none"/>
        </w:rPr>
      </w:pPr>
    </w:p>
    <w:p>
      <w:pPr>
        <w:keepNext w:val="0"/>
        <w:keepLines w:val="0"/>
        <w:pageBreakBefore w:val="0"/>
        <w:widowControl w:val="0"/>
        <w:kinsoku/>
        <w:wordWrap/>
        <w:overflowPunct/>
        <w:topLinePunct w:val="0"/>
        <w:autoSpaceDE/>
        <w:autoSpaceDN/>
        <w:bidi w:val="0"/>
        <w:adjustRightInd/>
        <w:snapToGrid w:val="0"/>
        <w:spacing w:line="480" w:lineRule="auto"/>
        <w:ind w:firstLine="1600" w:firstLineChars="500"/>
        <w:jc w:val="both"/>
        <w:textAlignment w:val="auto"/>
        <w:rPr>
          <w:rFonts w:hint="eastAsia" w:ascii="Times New Roman" w:hAnsi="Times New Roman" w:eastAsia="黑体" w:cs="Times New Roman"/>
          <w:sz w:val="32"/>
          <w:szCs w:val="32"/>
          <w:highlight w:val="none"/>
          <w:u w:val="single"/>
          <w:lang w:eastAsia="zh-CN"/>
        </w:rPr>
      </w:pPr>
      <w:r>
        <w:rPr>
          <w:rFonts w:ascii="Times New Roman" w:hAnsi="Times New Roman" w:eastAsia="黑体" w:cs="Times New Roman"/>
          <w:sz w:val="32"/>
          <w:szCs w:val="32"/>
          <w:highlight w:val="none"/>
        </w:rPr>
        <w:t>采</w:t>
      </w:r>
      <w:r>
        <w:rPr>
          <w:rFonts w:hint="eastAsia" w:ascii="Times New Roman" w:hAnsi="Times New Roman" w:eastAsia="黑体" w:cs="Times New Roman"/>
          <w:sz w:val="32"/>
          <w:szCs w:val="32"/>
          <w:highlight w:val="none"/>
          <w:lang w:val="en-US" w:eastAsia="zh-CN"/>
        </w:rPr>
        <w:t xml:space="preserve"> </w:t>
      </w:r>
      <w:r>
        <w:rPr>
          <w:rFonts w:ascii="Times New Roman" w:hAnsi="Times New Roman" w:eastAsia="黑体" w:cs="Times New Roman"/>
          <w:sz w:val="32"/>
          <w:szCs w:val="32"/>
          <w:highlight w:val="none"/>
        </w:rPr>
        <w:t>购</w:t>
      </w:r>
      <w:r>
        <w:rPr>
          <w:rFonts w:hint="eastAsia" w:ascii="Times New Roman" w:hAnsi="Times New Roman" w:eastAsia="黑体" w:cs="Times New Roman"/>
          <w:sz w:val="32"/>
          <w:szCs w:val="32"/>
          <w:highlight w:val="none"/>
          <w:lang w:val="en-US" w:eastAsia="zh-CN"/>
        </w:rPr>
        <w:t xml:space="preserve"> </w:t>
      </w:r>
      <w:r>
        <w:rPr>
          <w:rFonts w:ascii="Times New Roman" w:hAnsi="Times New Roman" w:eastAsia="黑体" w:cs="Times New Roman"/>
          <w:sz w:val="32"/>
          <w:szCs w:val="32"/>
          <w:highlight w:val="none"/>
        </w:rPr>
        <w:t>人：</w:t>
      </w:r>
      <w:r>
        <w:rPr>
          <w:rFonts w:hint="eastAsia" w:eastAsia="黑体"/>
          <w:color w:val="auto"/>
          <w:sz w:val="32"/>
          <w:szCs w:val="32"/>
          <w:highlight w:val="none"/>
          <w:u w:val="none"/>
          <w:lang w:val="en-US" w:eastAsia="zh-CN"/>
        </w:rPr>
        <w:t xml:space="preserve">安徽交控建设工程集团有限公司 </w:t>
      </w:r>
    </w:p>
    <w:p>
      <w:pPr>
        <w:keepNext w:val="0"/>
        <w:keepLines w:val="0"/>
        <w:pageBreakBefore w:val="0"/>
        <w:widowControl w:val="0"/>
        <w:kinsoku/>
        <w:wordWrap/>
        <w:overflowPunct/>
        <w:topLinePunct w:val="0"/>
        <w:autoSpaceDE/>
        <w:autoSpaceDN/>
        <w:bidi w:val="0"/>
        <w:adjustRightInd/>
        <w:snapToGrid w:val="0"/>
        <w:spacing w:line="480" w:lineRule="auto"/>
        <w:ind w:left="0" w:leftChars="0" w:firstLine="1600" w:firstLineChars="500"/>
        <w:jc w:val="both"/>
        <w:textAlignment w:val="auto"/>
        <w:rPr>
          <w:rFonts w:ascii="Times New Roman" w:hAnsi="Times New Roman" w:cs="Times New Roman"/>
          <w:sz w:val="32"/>
          <w:szCs w:val="32"/>
          <w:highlight w:val="none"/>
        </w:rPr>
      </w:pPr>
      <w:r>
        <w:rPr>
          <w:rFonts w:hint="eastAsia" w:ascii="黑体" w:hAnsi="黑体" w:eastAsia="黑体" w:cs="黑体"/>
          <w:sz w:val="32"/>
          <w:szCs w:val="32"/>
          <w:highlight w:val="none"/>
          <w:lang w:val="en-US" w:eastAsia="zh-CN"/>
        </w:rPr>
        <w:t>日    期</w:t>
      </w:r>
      <w:r>
        <w:rPr>
          <w:rFonts w:ascii="Times New Roman" w:hAnsi="Times New Roman" w:cs="Times New Roman"/>
          <w:sz w:val="32"/>
          <w:szCs w:val="32"/>
          <w:highlight w:val="none"/>
        </w:rPr>
        <w:t>：</w:t>
      </w:r>
      <w:r>
        <w:rPr>
          <w:rFonts w:ascii="Times New Roman" w:hAnsi="Times New Roman" w:eastAsia="黑体" w:cs="Times New Roman"/>
          <w:sz w:val="32"/>
          <w:szCs w:val="32"/>
          <w:highlight w:val="none"/>
          <w:u w:val="single"/>
        </w:rPr>
        <w:t xml:space="preserve"> </w:t>
      </w:r>
      <w:r>
        <w:rPr>
          <w:rFonts w:hint="eastAsia" w:ascii="Times New Roman" w:hAnsi="Times New Roman" w:eastAsia="黑体" w:cs="Times New Roman"/>
          <w:sz w:val="32"/>
          <w:szCs w:val="32"/>
          <w:highlight w:val="none"/>
          <w:u w:val="single"/>
          <w:lang w:val="en-US" w:eastAsia="zh-CN"/>
        </w:rPr>
        <w:t xml:space="preserve"> 2024  </w:t>
      </w:r>
      <w:r>
        <w:rPr>
          <w:rFonts w:ascii="Times New Roman" w:hAnsi="Times New Roman" w:eastAsia="黑体" w:cs="Times New Roman"/>
          <w:sz w:val="32"/>
          <w:szCs w:val="32"/>
          <w:highlight w:val="none"/>
          <w:u w:val="single"/>
        </w:rPr>
        <w:t xml:space="preserve"> </w:t>
      </w:r>
      <w:r>
        <w:rPr>
          <w:rFonts w:ascii="Times New Roman" w:hAnsi="Times New Roman" w:cs="Times New Roman"/>
          <w:sz w:val="32"/>
          <w:szCs w:val="32"/>
          <w:highlight w:val="none"/>
        </w:rPr>
        <w:t>年</w:t>
      </w:r>
      <w:r>
        <w:rPr>
          <w:rFonts w:ascii="Times New Roman" w:hAnsi="Times New Roman" w:eastAsia="黑体" w:cs="Times New Roman"/>
          <w:sz w:val="32"/>
          <w:szCs w:val="32"/>
          <w:highlight w:val="none"/>
          <w:u w:val="single"/>
        </w:rPr>
        <w:t xml:space="preserve"> </w:t>
      </w:r>
      <w:r>
        <w:rPr>
          <w:rFonts w:hint="eastAsia" w:ascii="Times New Roman" w:hAnsi="Times New Roman" w:eastAsia="黑体" w:cs="Times New Roman"/>
          <w:sz w:val="32"/>
          <w:szCs w:val="32"/>
          <w:highlight w:val="none"/>
          <w:u w:val="single"/>
          <w:lang w:val="en-US" w:eastAsia="zh-CN"/>
        </w:rPr>
        <w:t xml:space="preserve"> 3 </w:t>
      </w:r>
      <w:r>
        <w:rPr>
          <w:rFonts w:ascii="Times New Roman" w:hAnsi="Times New Roman" w:eastAsia="黑体" w:cs="Times New Roman"/>
          <w:sz w:val="32"/>
          <w:szCs w:val="32"/>
          <w:highlight w:val="none"/>
          <w:u w:val="single"/>
        </w:rPr>
        <w:t xml:space="preserve"> </w:t>
      </w:r>
      <w:r>
        <w:rPr>
          <w:rFonts w:ascii="Times New Roman" w:hAnsi="Times New Roman" w:cs="Times New Roman"/>
          <w:sz w:val="32"/>
          <w:szCs w:val="32"/>
          <w:highlight w:val="none"/>
        </w:rPr>
        <w:t>月</w:t>
      </w:r>
    </w:p>
    <w:p>
      <w:pPr>
        <w:keepNext w:val="0"/>
        <w:keepLines w:val="0"/>
        <w:pageBreakBefore w:val="0"/>
        <w:widowControl w:val="0"/>
        <w:kinsoku/>
        <w:wordWrap/>
        <w:overflowPunct/>
        <w:topLinePunct w:val="0"/>
        <w:autoSpaceDE/>
        <w:autoSpaceDN/>
        <w:bidi w:val="0"/>
        <w:adjustRightInd/>
        <w:snapToGrid w:val="0"/>
        <w:spacing w:line="560" w:lineRule="exact"/>
        <w:ind w:left="0" w:leftChars="0"/>
        <w:jc w:val="center"/>
        <w:textAlignment w:val="auto"/>
        <w:rPr>
          <w:rFonts w:ascii="Times New Roman" w:hAnsi="Times New Roman" w:cs="Times New Roman"/>
          <w:sz w:val="32"/>
          <w:szCs w:val="32"/>
          <w:highlight w:val="none"/>
        </w:rPr>
      </w:pPr>
    </w:p>
    <w:p>
      <w:pPr>
        <w:snapToGrid w:val="0"/>
        <w:ind w:firstLine="1920" w:firstLineChars="600"/>
        <w:rPr>
          <w:rFonts w:hint="eastAsia" w:ascii="Times New Roman" w:hAnsi="Times New Roman" w:cs="Times New Roman" w:eastAsiaTheme="minorEastAsia"/>
          <w:sz w:val="32"/>
          <w:szCs w:val="32"/>
          <w:highlight w:val="none"/>
          <w:lang w:val="en-US" w:eastAsia="zh-CN"/>
        </w:rPr>
      </w:pPr>
      <w:r>
        <w:rPr>
          <w:rFonts w:hint="eastAsia" w:ascii="Times New Roman" w:hAnsi="Times New Roman" w:cs="Times New Roman"/>
          <w:sz w:val="32"/>
          <w:szCs w:val="32"/>
          <w:highlight w:val="none"/>
          <w:lang w:val="en-US" w:eastAsia="zh-CN"/>
        </w:rPr>
        <w:t xml:space="preserve"> </w:t>
      </w:r>
    </w:p>
    <w:p>
      <w:pPr>
        <w:ind w:left="1896" w:leftChars="903"/>
        <w:rPr>
          <w:rFonts w:ascii="Times New Roman" w:hAnsi="Times New Roman" w:eastAsia="宋体" w:cs="Times New Roman"/>
          <w:sz w:val="24"/>
          <w:highlight w:val="none"/>
        </w:rPr>
        <w:sectPr>
          <w:footerReference r:id="rId3" w:type="default"/>
          <w:pgSz w:w="11906" w:h="16838"/>
          <w:pgMar w:top="1440" w:right="1800" w:bottom="1440" w:left="1800" w:header="851" w:footer="992" w:gutter="0"/>
          <w:pgNumType w:fmt="decimal" w:start="1"/>
          <w:cols w:space="425" w:num="1"/>
          <w:docGrid w:type="lines" w:linePitch="312" w:charSpace="0"/>
        </w:sectPr>
      </w:pPr>
    </w:p>
    <w:sdt>
      <w:sdtPr>
        <w:rPr>
          <w:rFonts w:ascii="宋体" w:hAnsi="宋体" w:eastAsia="宋体" w:cstheme="minorBidi"/>
          <w:kern w:val="2"/>
          <w:sz w:val="21"/>
          <w:szCs w:val="24"/>
          <w:highlight w:val="none"/>
          <w:lang w:val="en-US" w:eastAsia="zh-CN" w:bidi="ar-SA"/>
        </w:rPr>
        <w:id w:val="147468455"/>
        <w15:color w:val="DBDBDB"/>
        <w:docPartObj>
          <w:docPartGallery w:val="Table of Contents"/>
          <w:docPartUnique/>
        </w:docPartObj>
      </w:sdtPr>
      <w:sdtEndPr>
        <w:rPr>
          <w:rFonts w:ascii="宋体" w:hAnsi="宋体" w:eastAsia="宋体" w:cstheme="minorBidi"/>
          <w:kern w:val="2"/>
          <w:sz w:val="21"/>
          <w:szCs w:val="24"/>
          <w:highlight w:val="none"/>
          <w:lang w:val="en-US" w:eastAsia="zh-CN" w:bidi="ar-SA"/>
        </w:rPr>
      </w:sdtEndPr>
      <w:sdtContent>
        <w:p>
          <w:pPr>
            <w:spacing w:before="0" w:beforeLines="0" w:after="0" w:afterLines="0" w:line="240" w:lineRule="auto"/>
            <w:ind w:left="0" w:leftChars="0" w:right="0" w:rightChars="0" w:firstLine="0" w:firstLineChars="0"/>
            <w:jc w:val="center"/>
            <w:rPr>
              <w:highlight w:val="none"/>
            </w:rPr>
          </w:pPr>
          <w:r>
            <w:rPr>
              <w:rFonts w:ascii="宋体" w:hAnsi="宋体" w:eastAsia="宋体"/>
              <w:sz w:val="21"/>
              <w:highlight w:val="none"/>
            </w:rPr>
            <w:t>目录</w:t>
          </w:r>
        </w:p>
        <w:p>
          <w:pPr>
            <w:pStyle w:val="14"/>
            <w:tabs>
              <w:tab w:val="right" w:leader="dot" w:pos="8312"/>
            </w:tabs>
          </w:pPr>
          <w:r>
            <w:rPr>
              <w:rFonts w:ascii="宋体" w:hAnsi="宋体" w:eastAsia="宋体"/>
              <w:highlight w:val="none"/>
            </w:rPr>
            <w:fldChar w:fldCharType="begin"/>
          </w:r>
          <w:r>
            <w:rPr>
              <w:rFonts w:ascii="宋体" w:hAnsi="宋体" w:eastAsia="宋体"/>
              <w:highlight w:val="none"/>
            </w:rPr>
            <w:instrText xml:space="preserve">TOC \o "1-1" \h \u </w:instrText>
          </w:r>
          <w:r>
            <w:rPr>
              <w:rFonts w:ascii="宋体" w:hAnsi="宋体" w:eastAsia="宋体"/>
              <w:highlight w:val="none"/>
            </w:rPr>
            <w:fldChar w:fldCharType="separate"/>
          </w:r>
          <w:r>
            <w:rPr>
              <w:rFonts w:ascii="宋体" w:hAnsi="宋体" w:eastAsia="宋体"/>
              <w:highlight w:val="none"/>
            </w:rPr>
            <w:fldChar w:fldCharType="begin"/>
          </w:r>
          <w:r>
            <w:rPr>
              <w:rFonts w:ascii="宋体" w:hAnsi="宋体" w:eastAsia="宋体"/>
              <w:highlight w:val="none"/>
            </w:rPr>
            <w:instrText xml:space="preserve"> HYPERLINK \l _Toc13477 </w:instrText>
          </w:r>
          <w:r>
            <w:rPr>
              <w:rFonts w:ascii="宋体" w:hAnsi="宋体" w:eastAsia="宋体"/>
              <w:highlight w:val="none"/>
            </w:rPr>
            <w:fldChar w:fldCharType="separate"/>
          </w:r>
          <w:r>
            <w:rPr>
              <w:rFonts w:hint="eastAsia" w:ascii="Times New Roman" w:hAnsi="Times New Roman" w:eastAsia="宋体" w:cs="Times New Roman"/>
            </w:rPr>
            <w:t xml:space="preserve">第一章 </w:t>
          </w:r>
          <w:r>
            <w:rPr>
              <w:rFonts w:ascii="Times New Roman" w:hAnsi="Times New Roman" w:eastAsia="宋体" w:cs="Times New Roman"/>
              <w:highlight w:val="none"/>
            </w:rPr>
            <w:t>采购公告</w:t>
          </w:r>
          <w:r>
            <w:tab/>
          </w:r>
          <w:r>
            <w:fldChar w:fldCharType="begin"/>
          </w:r>
          <w:r>
            <w:instrText xml:space="preserve"> PAGEREF _Toc13477 \h </w:instrText>
          </w:r>
          <w:r>
            <w:fldChar w:fldCharType="separate"/>
          </w:r>
          <w:r>
            <w:t>3</w:t>
          </w:r>
          <w:r>
            <w:fldChar w:fldCharType="end"/>
          </w:r>
          <w:r>
            <w:rPr>
              <w:rFonts w:ascii="宋体" w:hAnsi="宋体" w:eastAsia="宋体"/>
              <w:highlight w:val="none"/>
            </w:rPr>
            <w:fldChar w:fldCharType="end"/>
          </w:r>
        </w:p>
        <w:p>
          <w:pPr>
            <w:pStyle w:val="14"/>
            <w:tabs>
              <w:tab w:val="right" w:leader="dot" w:pos="8312"/>
            </w:tabs>
          </w:pPr>
          <w:r>
            <w:rPr>
              <w:rFonts w:ascii="宋体" w:hAnsi="宋体" w:eastAsia="宋体"/>
              <w:highlight w:val="none"/>
            </w:rPr>
            <w:fldChar w:fldCharType="begin"/>
          </w:r>
          <w:r>
            <w:rPr>
              <w:rFonts w:ascii="宋体" w:hAnsi="宋体" w:eastAsia="宋体"/>
              <w:highlight w:val="none"/>
            </w:rPr>
            <w:instrText xml:space="preserve"> HYPERLINK \l _Toc1355 </w:instrText>
          </w:r>
          <w:r>
            <w:rPr>
              <w:rFonts w:ascii="宋体" w:hAnsi="宋体" w:eastAsia="宋体"/>
              <w:highlight w:val="none"/>
            </w:rPr>
            <w:fldChar w:fldCharType="separate"/>
          </w:r>
          <w:r>
            <w:rPr>
              <w:rFonts w:hint="eastAsia" w:ascii="Times New Roman" w:hAnsi="Times New Roman" w:eastAsia="宋体" w:cs="Times New Roman"/>
            </w:rPr>
            <w:t xml:space="preserve">第二章 </w:t>
          </w:r>
          <w:r>
            <w:rPr>
              <w:rFonts w:ascii="Times New Roman" w:hAnsi="Times New Roman" w:eastAsia="宋体" w:cs="Times New Roman"/>
              <w:highlight w:val="none"/>
            </w:rPr>
            <w:t>供应商须知</w:t>
          </w:r>
          <w:r>
            <w:tab/>
          </w:r>
          <w:r>
            <w:fldChar w:fldCharType="begin"/>
          </w:r>
          <w:r>
            <w:instrText xml:space="preserve"> PAGEREF _Toc1355 \h </w:instrText>
          </w:r>
          <w:r>
            <w:fldChar w:fldCharType="separate"/>
          </w:r>
          <w:r>
            <w:t>6</w:t>
          </w:r>
          <w:r>
            <w:fldChar w:fldCharType="end"/>
          </w:r>
          <w:r>
            <w:rPr>
              <w:rFonts w:ascii="宋体" w:hAnsi="宋体" w:eastAsia="宋体"/>
              <w:highlight w:val="none"/>
            </w:rPr>
            <w:fldChar w:fldCharType="end"/>
          </w:r>
        </w:p>
        <w:p>
          <w:pPr>
            <w:pStyle w:val="14"/>
            <w:tabs>
              <w:tab w:val="right" w:leader="dot" w:pos="8312"/>
            </w:tabs>
          </w:pPr>
          <w:r>
            <w:rPr>
              <w:rFonts w:ascii="宋体" w:hAnsi="宋体" w:eastAsia="宋体"/>
              <w:highlight w:val="none"/>
            </w:rPr>
            <w:fldChar w:fldCharType="begin"/>
          </w:r>
          <w:r>
            <w:rPr>
              <w:rFonts w:ascii="宋体" w:hAnsi="宋体" w:eastAsia="宋体"/>
              <w:highlight w:val="none"/>
            </w:rPr>
            <w:instrText xml:space="preserve"> HYPERLINK \l _Toc18085 </w:instrText>
          </w:r>
          <w:r>
            <w:rPr>
              <w:rFonts w:ascii="宋体" w:hAnsi="宋体" w:eastAsia="宋体"/>
              <w:highlight w:val="none"/>
            </w:rPr>
            <w:fldChar w:fldCharType="separate"/>
          </w:r>
          <w:r>
            <w:rPr>
              <w:rFonts w:hint="eastAsia" w:ascii="Times New Roman" w:hAnsi="Times New Roman" w:eastAsia="宋体" w:cs="Times New Roman"/>
            </w:rPr>
            <w:t xml:space="preserve">第三章 </w:t>
          </w:r>
          <w:r>
            <w:rPr>
              <w:rFonts w:ascii="Times New Roman" w:hAnsi="Times New Roman" w:eastAsia="宋体" w:cs="Times New Roman"/>
              <w:highlight w:val="none"/>
            </w:rPr>
            <w:t>评审办法</w:t>
          </w:r>
          <w:r>
            <w:tab/>
          </w:r>
          <w:r>
            <w:fldChar w:fldCharType="begin"/>
          </w:r>
          <w:r>
            <w:instrText xml:space="preserve"> PAGEREF _Toc18085 \h </w:instrText>
          </w:r>
          <w:r>
            <w:fldChar w:fldCharType="separate"/>
          </w:r>
          <w:r>
            <w:t>15</w:t>
          </w:r>
          <w:r>
            <w:fldChar w:fldCharType="end"/>
          </w:r>
          <w:r>
            <w:rPr>
              <w:rFonts w:ascii="宋体" w:hAnsi="宋体" w:eastAsia="宋体"/>
              <w:highlight w:val="none"/>
            </w:rPr>
            <w:fldChar w:fldCharType="end"/>
          </w:r>
        </w:p>
        <w:p>
          <w:pPr>
            <w:pStyle w:val="14"/>
            <w:tabs>
              <w:tab w:val="right" w:leader="dot" w:pos="8312"/>
            </w:tabs>
          </w:pPr>
          <w:r>
            <w:rPr>
              <w:rFonts w:ascii="宋体" w:hAnsi="宋体" w:eastAsia="宋体"/>
              <w:highlight w:val="none"/>
            </w:rPr>
            <w:fldChar w:fldCharType="begin"/>
          </w:r>
          <w:r>
            <w:rPr>
              <w:rFonts w:ascii="宋体" w:hAnsi="宋体" w:eastAsia="宋体"/>
              <w:highlight w:val="none"/>
            </w:rPr>
            <w:instrText xml:space="preserve"> HYPERLINK \l _Toc3624 </w:instrText>
          </w:r>
          <w:r>
            <w:rPr>
              <w:rFonts w:ascii="宋体" w:hAnsi="宋体" w:eastAsia="宋体"/>
              <w:highlight w:val="none"/>
            </w:rPr>
            <w:fldChar w:fldCharType="separate"/>
          </w:r>
          <w:r>
            <w:rPr>
              <w:rFonts w:hint="eastAsia" w:ascii="Times New Roman" w:hAnsi="Times New Roman" w:eastAsia="宋体" w:cs="Times New Roman"/>
              <w:highlight w:val="none"/>
              <w:lang w:val="en-US" w:eastAsia="zh-CN"/>
            </w:rPr>
            <w:t xml:space="preserve">第四章 </w:t>
          </w:r>
          <w:r>
            <w:rPr>
              <w:rFonts w:ascii="Times New Roman" w:hAnsi="Times New Roman" w:eastAsia="宋体" w:cs="Times New Roman"/>
              <w:highlight w:val="none"/>
            </w:rPr>
            <w:t>合同内容</w:t>
          </w:r>
          <w:r>
            <w:tab/>
          </w:r>
          <w:r>
            <w:fldChar w:fldCharType="begin"/>
          </w:r>
          <w:r>
            <w:instrText xml:space="preserve"> PAGEREF _Toc3624 \h </w:instrText>
          </w:r>
          <w:r>
            <w:fldChar w:fldCharType="separate"/>
          </w:r>
          <w:r>
            <w:t>21</w:t>
          </w:r>
          <w:r>
            <w:fldChar w:fldCharType="end"/>
          </w:r>
          <w:r>
            <w:rPr>
              <w:rFonts w:ascii="宋体" w:hAnsi="宋体" w:eastAsia="宋体"/>
              <w:highlight w:val="none"/>
            </w:rPr>
            <w:fldChar w:fldCharType="end"/>
          </w:r>
        </w:p>
        <w:p>
          <w:pPr>
            <w:pStyle w:val="14"/>
            <w:tabs>
              <w:tab w:val="right" w:leader="dot" w:pos="8312"/>
            </w:tabs>
          </w:pPr>
          <w:r>
            <w:rPr>
              <w:rFonts w:ascii="宋体" w:hAnsi="宋体" w:eastAsia="宋体"/>
              <w:highlight w:val="none"/>
            </w:rPr>
            <w:fldChar w:fldCharType="begin"/>
          </w:r>
          <w:r>
            <w:rPr>
              <w:rFonts w:ascii="宋体" w:hAnsi="宋体" w:eastAsia="宋体"/>
              <w:highlight w:val="none"/>
            </w:rPr>
            <w:instrText xml:space="preserve"> HYPERLINK \l _Toc25756 </w:instrText>
          </w:r>
          <w:r>
            <w:rPr>
              <w:rFonts w:ascii="宋体" w:hAnsi="宋体" w:eastAsia="宋体"/>
              <w:highlight w:val="none"/>
            </w:rPr>
            <w:fldChar w:fldCharType="separate"/>
          </w:r>
          <w:r>
            <w:rPr>
              <w:rFonts w:hint="eastAsia" w:ascii="Times New Roman" w:hAnsi="Times New Roman" w:eastAsia="宋体" w:cs="Times New Roman"/>
              <w:highlight w:val="none"/>
              <w:lang w:val="en-US" w:eastAsia="zh-CN"/>
            </w:rPr>
            <w:t xml:space="preserve">第五章 </w:t>
          </w:r>
          <w:r>
            <w:rPr>
              <w:rFonts w:hint="eastAsia" w:ascii="Times New Roman" w:hAnsi="Times New Roman" w:eastAsia="宋体" w:cs="Times New Roman"/>
              <w:highlight w:val="none"/>
              <w:lang w:eastAsia="zh-CN"/>
            </w:rPr>
            <w:t>工程量清单</w:t>
          </w:r>
          <w:r>
            <w:tab/>
          </w:r>
          <w:r>
            <w:fldChar w:fldCharType="begin"/>
          </w:r>
          <w:r>
            <w:instrText xml:space="preserve"> PAGEREF _Toc25756 \h </w:instrText>
          </w:r>
          <w:r>
            <w:fldChar w:fldCharType="separate"/>
          </w:r>
          <w:r>
            <w:t>34</w:t>
          </w:r>
          <w:r>
            <w:fldChar w:fldCharType="end"/>
          </w:r>
          <w:r>
            <w:rPr>
              <w:rFonts w:ascii="宋体" w:hAnsi="宋体" w:eastAsia="宋体"/>
              <w:highlight w:val="none"/>
            </w:rPr>
            <w:fldChar w:fldCharType="end"/>
          </w:r>
        </w:p>
        <w:p>
          <w:pPr>
            <w:pStyle w:val="14"/>
            <w:tabs>
              <w:tab w:val="right" w:leader="dot" w:pos="8312"/>
            </w:tabs>
          </w:pPr>
          <w:r>
            <w:rPr>
              <w:rFonts w:ascii="宋体" w:hAnsi="宋体" w:eastAsia="宋体"/>
              <w:highlight w:val="none"/>
            </w:rPr>
            <w:fldChar w:fldCharType="begin"/>
          </w:r>
          <w:r>
            <w:rPr>
              <w:rFonts w:ascii="宋体" w:hAnsi="宋体" w:eastAsia="宋体"/>
              <w:highlight w:val="none"/>
            </w:rPr>
            <w:instrText xml:space="preserve"> HYPERLINK \l _Toc11058 </w:instrText>
          </w:r>
          <w:r>
            <w:rPr>
              <w:rFonts w:ascii="宋体" w:hAnsi="宋体" w:eastAsia="宋体"/>
              <w:highlight w:val="none"/>
            </w:rPr>
            <w:fldChar w:fldCharType="separate"/>
          </w:r>
          <w:r>
            <w:rPr>
              <w:rFonts w:hint="eastAsia" w:ascii="Times New Roman" w:hAnsi="Times New Roman" w:eastAsia="宋体" w:cs="Times New Roman"/>
              <w:highlight w:val="none"/>
              <w:lang w:val="en-US" w:eastAsia="zh-CN"/>
            </w:rPr>
            <w:t>第六章 响应文件格式</w:t>
          </w:r>
          <w:r>
            <w:tab/>
          </w:r>
          <w:r>
            <w:fldChar w:fldCharType="begin"/>
          </w:r>
          <w:r>
            <w:instrText xml:space="preserve"> PAGEREF _Toc11058 \h </w:instrText>
          </w:r>
          <w:r>
            <w:fldChar w:fldCharType="separate"/>
          </w:r>
          <w:r>
            <w:t>36</w:t>
          </w:r>
          <w:r>
            <w:fldChar w:fldCharType="end"/>
          </w:r>
          <w:r>
            <w:rPr>
              <w:rFonts w:ascii="宋体" w:hAnsi="宋体" w:eastAsia="宋体"/>
              <w:highlight w:val="none"/>
            </w:rPr>
            <w:fldChar w:fldCharType="end"/>
          </w:r>
        </w:p>
        <w:p>
          <w:pPr>
            <w:jc w:val="center"/>
            <w:rPr>
              <w:rFonts w:ascii="宋体" w:hAnsi="宋体" w:eastAsia="宋体"/>
              <w:highlight w:val="none"/>
            </w:rPr>
          </w:pPr>
          <w:r>
            <w:rPr>
              <w:rFonts w:ascii="宋体" w:hAnsi="宋体" w:eastAsia="宋体"/>
              <w:highlight w:val="none"/>
            </w:rPr>
            <w:fldChar w:fldCharType="end"/>
          </w:r>
        </w:p>
      </w:sdtContent>
    </w:sdt>
    <w:p>
      <w:pPr>
        <w:jc w:val="center"/>
        <w:rPr>
          <w:rFonts w:ascii="宋体" w:hAnsi="宋体" w:eastAsia="宋体"/>
          <w:highlight w:val="none"/>
        </w:rPr>
      </w:pPr>
    </w:p>
    <w:p>
      <w:pPr>
        <w:pStyle w:val="3"/>
        <w:numPr>
          <w:ilvl w:val="0"/>
          <w:numId w:val="0"/>
        </w:numPr>
        <w:spacing w:before="312" w:after="312"/>
        <w:ind w:leftChars="0"/>
        <w:jc w:val="both"/>
        <w:rPr>
          <w:rFonts w:ascii="Times New Roman" w:hAnsi="Times New Roman" w:eastAsia="宋体" w:cs="Times New Roman"/>
          <w:highlight w:val="none"/>
        </w:rPr>
        <w:sectPr>
          <w:footerReference r:id="rId4" w:type="default"/>
          <w:footnotePr>
            <w:numFmt w:val="decimalEnclosedCircleChinese"/>
            <w:numRestart w:val="eachPage"/>
          </w:footnotePr>
          <w:pgSz w:w="11906" w:h="16838"/>
          <w:pgMar w:top="1440" w:right="1797" w:bottom="1440" w:left="1797" w:header="851" w:footer="992" w:gutter="0"/>
          <w:pgNumType w:fmt="decimal"/>
          <w:cols w:space="720" w:num="1"/>
          <w:docGrid w:type="linesAndChars" w:linePitch="312" w:charSpace="0"/>
        </w:sectPr>
      </w:pPr>
      <w:r>
        <w:rPr>
          <w:rFonts w:hint="eastAsia" w:ascii="Times New Roman" w:hAnsi="Times New Roman" w:eastAsia="宋体" w:cs="Times New Roman"/>
          <w:highlight w:val="none"/>
          <w:lang w:val="en-US" w:eastAsia="zh-CN"/>
        </w:rPr>
        <w:t xml:space="preserve">  </w:t>
      </w:r>
    </w:p>
    <w:p>
      <w:pPr>
        <w:pStyle w:val="3"/>
        <w:spacing w:before="312" w:after="312"/>
        <w:rPr>
          <w:rFonts w:ascii="Times New Roman" w:hAnsi="Times New Roman" w:eastAsia="宋体" w:cs="Times New Roman"/>
          <w:highlight w:val="none"/>
        </w:rPr>
      </w:pPr>
      <w:bookmarkStart w:id="0" w:name="_Toc15005"/>
      <w:bookmarkStart w:id="1" w:name="_Toc13477"/>
      <w:r>
        <w:rPr>
          <w:rFonts w:ascii="Times New Roman" w:hAnsi="Times New Roman" w:eastAsia="宋体" w:cs="Times New Roman"/>
          <w:highlight w:val="none"/>
        </w:rPr>
        <w:t>采购公告</w:t>
      </w:r>
      <w:bookmarkEnd w:id="0"/>
      <w:bookmarkEnd w:id="1"/>
    </w:p>
    <w:p>
      <w:pPr>
        <w:pStyle w:val="4"/>
        <w:snapToGrid w:val="0"/>
        <w:spacing w:before="120" w:after="120" w:line="240" w:lineRule="auto"/>
        <w:ind w:firstLine="403"/>
        <w:rPr>
          <w:rFonts w:ascii="Times New Roman" w:hAnsi="Times New Roman" w:eastAsia="黑体" w:cs="Times New Roman"/>
          <w:b w:val="0"/>
          <w:sz w:val="22"/>
          <w:szCs w:val="15"/>
          <w:highlight w:val="none"/>
        </w:rPr>
      </w:pPr>
      <w:bookmarkStart w:id="2" w:name="_Toc6496_WPSOffice_Level2"/>
      <w:bookmarkStart w:id="3" w:name="_Toc525632585"/>
      <w:bookmarkStart w:id="4" w:name="_Toc10395_WPSOffice_Level2"/>
      <w:bookmarkStart w:id="5" w:name="_Toc12765"/>
      <w:bookmarkStart w:id="6" w:name="_Toc24354_WPSOffice_Level2"/>
      <w:bookmarkStart w:id="7" w:name="_Toc13871"/>
      <w:bookmarkStart w:id="8" w:name="_Toc4489_WPSOffice_Level2"/>
      <w:r>
        <w:rPr>
          <w:rFonts w:ascii="Times New Roman" w:hAnsi="Times New Roman" w:eastAsia="黑体" w:cs="Times New Roman"/>
          <w:b w:val="0"/>
          <w:sz w:val="22"/>
          <w:szCs w:val="15"/>
          <w:highlight w:val="none"/>
        </w:rPr>
        <w:t>项目简介</w:t>
      </w:r>
      <w:bookmarkEnd w:id="2"/>
      <w:bookmarkEnd w:id="3"/>
      <w:bookmarkEnd w:id="4"/>
      <w:bookmarkEnd w:id="5"/>
      <w:bookmarkEnd w:id="6"/>
      <w:bookmarkEnd w:id="7"/>
      <w:bookmarkEnd w:id="8"/>
    </w:p>
    <w:p>
      <w:pPr>
        <w:pageBreakBefore w:val="0"/>
        <w:widowControl/>
        <w:kinsoku/>
        <w:wordWrap/>
        <w:overflowPunct/>
        <w:topLinePunct w:val="0"/>
        <w:autoSpaceDE/>
        <w:autoSpaceDN/>
        <w:bidi w:val="0"/>
        <w:adjustRightInd/>
        <w:spacing w:line="440" w:lineRule="exact"/>
        <w:ind w:firstLine="420" w:firstLineChars="200"/>
        <w:jc w:val="both"/>
        <w:textAlignment w:val="auto"/>
        <w:rPr>
          <w:rFonts w:hint="default" w:ascii="Times New Roman" w:hAnsi="Times New Roman" w:eastAsia="宋体" w:cs="Times New Roman"/>
          <w:sz w:val="32"/>
          <w:szCs w:val="32"/>
          <w:highlight w:val="none"/>
          <w:u w:val="none"/>
          <w:lang w:val="en-US" w:eastAsia="zh-CN"/>
        </w:rPr>
      </w:pPr>
      <w:r>
        <w:rPr>
          <w:rFonts w:hint="eastAsia" w:ascii="宋体" w:hAnsi="宋体" w:eastAsia="宋体" w:cs="宋体"/>
          <w:szCs w:val="21"/>
          <w:highlight w:val="none"/>
          <w:lang w:val="en-US" w:eastAsia="zh-CN"/>
        </w:rPr>
        <w:t>1.1项目名称：</w:t>
      </w:r>
      <w:r>
        <w:rPr>
          <w:rFonts w:hint="eastAsia" w:ascii="宋体" w:hAnsi="宋体" w:eastAsia="宋体" w:cs="宋体"/>
          <w:sz w:val="21"/>
          <w:szCs w:val="21"/>
          <w:highlight w:val="none"/>
          <w:u w:val="single"/>
          <w:lang w:val="en-US" w:eastAsia="zh-CN"/>
        </w:rPr>
        <w:t>合肥至周口高速公路寿县（保义）至颍上（南照）房建工程空气源热泵采购及安装项目</w:t>
      </w:r>
    </w:p>
    <w:p>
      <w:pPr>
        <w:pageBreakBefore w:val="0"/>
        <w:kinsoku/>
        <w:wordWrap/>
        <w:overflowPunct/>
        <w:topLinePunct w:val="0"/>
        <w:autoSpaceDE/>
        <w:autoSpaceDN/>
        <w:bidi w:val="0"/>
        <w:adjustRightInd/>
        <w:snapToGrid w:val="0"/>
        <w:spacing w:line="440" w:lineRule="exact"/>
        <w:ind w:firstLine="420" w:firstLineChars="200"/>
        <w:textAlignment w:val="auto"/>
        <w:rPr>
          <w:rFonts w:hint="eastAsia" w:ascii="宋体" w:hAnsi="宋体" w:eastAsia="宋体" w:cs="宋体"/>
          <w:sz w:val="21"/>
          <w:szCs w:val="21"/>
          <w:highlight w:val="none"/>
          <w:lang w:val="en-US"/>
        </w:rPr>
      </w:pPr>
      <w:r>
        <w:rPr>
          <w:rFonts w:hint="eastAsia" w:ascii="宋体" w:hAnsi="宋体" w:eastAsia="宋体" w:cs="宋体"/>
          <w:sz w:val="21"/>
          <w:szCs w:val="21"/>
          <w:highlight w:val="none"/>
        </w:rPr>
        <w:t>1.2 采 购 人：</w:t>
      </w:r>
      <w:r>
        <w:rPr>
          <w:rFonts w:hint="eastAsia" w:ascii="宋体" w:hAnsi="宋体" w:eastAsia="宋体" w:cs="宋体"/>
          <w:sz w:val="21"/>
          <w:szCs w:val="21"/>
          <w:highlight w:val="none"/>
          <w:u w:val="single"/>
        </w:rPr>
        <w:t xml:space="preserve"> </w:t>
      </w:r>
      <w:r>
        <w:rPr>
          <w:rFonts w:hint="eastAsia" w:ascii="Times New Roman" w:hAnsi="Times New Roman" w:cs="Times New Roman"/>
          <w:color w:val="auto"/>
          <w:szCs w:val="22"/>
          <w:highlight w:val="none"/>
          <w:u w:val="single"/>
          <w:lang w:val="en-US" w:eastAsia="zh-CN"/>
        </w:rPr>
        <w:t>本项目采购主体为安徽交控建设工程集团有限公司，合同主体为：</w:t>
      </w:r>
      <w:r>
        <w:rPr>
          <w:rFonts w:hint="eastAsia" w:ascii="Times New Roman" w:hAnsi="Times New Roman" w:cs="Times New Roman"/>
          <w:color w:val="auto"/>
          <w:szCs w:val="22"/>
          <w:highlight w:val="none"/>
          <w:u w:val="single"/>
          <w:lang w:eastAsia="zh-CN"/>
        </w:rPr>
        <w:t>安徽省经工物资有限公司。</w:t>
      </w:r>
      <w:r>
        <w:rPr>
          <w:rFonts w:hint="eastAsia" w:ascii="宋体" w:hAnsi="宋体" w:eastAsia="宋体" w:cs="宋体"/>
          <w:sz w:val="21"/>
          <w:szCs w:val="21"/>
          <w:highlight w:val="none"/>
          <w:u w:val="singl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pacing w:line="440" w:lineRule="exact"/>
        <w:ind w:firstLine="420" w:firstLineChars="200"/>
        <w:jc w:val="left"/>
        <w:textAlignment w:val="auto"/>
        <w:rPr>
          <w:rFonts w:hint="eastAsia" w:ascii="仿宋_GB2312" w:hAnsi="仿宋" w:eastAsia="仿宋_GB2312"/>
          <w:szCs w:val="21"/>
          <w:highlight w:val="none"/>
          <w:u w:val="none"/>
          <w:lang w:eastAsia="zh-CN"/>
        </w:rPr>
      </w:pPr>
      <w:r>
        <w:rPr>
          <w:rFonts w:hint="eastAsia" w:ascii="宋体" w:hAnsi="宋体" w:eastAsia="宋体" w:cs="宋体"/>
          <w:sz w:val="21"/>
          <w:szCs w:val="21"/>
          <w:highlight w:val="none"/>
        </w:rPr>
        <w:t>1.3 项目概况：</w:t>
      </w:r>
      <w:r>
        <w:rPr>
          <w:rFonts w:hint="eastAsia" w:ascii="宋体" w:hAnsi="宋体" w:eastAsia="宋体" w:cs="宋体"/>
          <w:sz w:val="21"/>
          <w:szCs w:val="21"/>
          <w:highlight w:val="none"/>
          <w:u w:val="single"/>
          <w:lang w:val="en-US" w:eastAsia="zh-CN"/>
        </w:rPr>
        <w:t>现有合肥至周口高速公路寿县（保义）至颍上（南照）房建工程服务区综合楼、收费站宿舍楼空气源热泵采购及安装项目，具体规格详见第五章工程量清单及图纸。</w:t>
      </w:r>
    </w:p>
    <w:p>
      <w:pPr>
        <w:pStyle w:val="4"/>
        <w:pageBreakBefore w:val="0"/>
        <w:kinsoku/>
        <w:wordWrap/>
        <w:overflowPunct/>
        <w:topLinePunct w:val="0"/>
        <w:autoSpaceDE/>
        <w:autoSpaceDN/>
        <w:bidi w:val="0"/>
        <w:adjustRightInd/>
        <w:snapToGrid w:val="0"/>
        <w:spacing w:before="120" w:after="120" w:line="440" w:lineRule="exact"/>
        <w:ind w:firstLine="403"/>
        <w:textAlignment w:val="auto"/>
        <w:rPr>
          <w:rFonts w:ascii="Times New Roman" w:hAnsi="Times New Roman" w:eastAsia="黑体" w:cs="Times New Roman"/>
          <w:b w:val="0"/>
          <w:sz w:val="22"/>
          <w:szCs w:val="15"/>
          <w:highlight w:val="none"/>
        </w:rPr>
      </w:pPr>
      <w:bookmarkStart w:id="9" w:name="_Toc525632586"/>
      <w:bookmarkStart w:id="10" w:name="_Toc18453"/>
      <w:bookmarkStart w:id="11" w:name="_Toc17858_WPSOffice_Level2"/>
      <w:bookmarkStart w:id="12" w:name="_Toc8128_WPSOffice_Level2"/>
      <w:bookmarkStart w:id="13" w:name="_Toc23266_WPSOffice_Level2"/>
      <w:bookmarkStart w:id="14" w:name="_Toc18367_WPSOffice_Level2"/>
      <w:bookmarkStart w:id="15" w:name="_Toc10274"/>
      <w:r>
        <w:rPr>
          <w:rFonts w:ascii="Times New Roman" w:hAnsi="Times New Roman" w:eastAsia="黑体" w:cs="Times New Roman"/>
          <w:b w:val="0"/>
          <w:sz w:val="22"/>
          <w:szCs w:val="15"/>
          <w:highlight w:val="none"/>
        </w:rPr>
        <w:t>采购说明</w:t>
      </w:r>
      <w:bookmarkEnd w:id="9"/>
      <w:bookmarkEnd w:id="10"/>
      <w:bookmarkEnd w:id="11"/>
      <w:bookmarkEnd w:id="12"/>
      <w:bookmarkEnd w:id="13"/>
      <w:bookmarkEnd w:id="14"/>
      <w:bookmarkEnd w:id="15"/>
    </w:p>
    <w:p>
      <w:pPr>
        <w:pageBreakBefore w:val="0"/>
        <w:kinsoku/>
        <w:wordWrap/>
        <w:overflowPunct/>
        <w:topLinePunct w:val="0"/>
        <w:autoSpaceDE/>
        <w:autoSpaceDN/>
        <w:bidi w:val="0"/>
        <w:adjustRightInd/>
        <w:snapToGrid w:val="0"/>
        <w:spacing w:line="440" w:lineRule="exact"/>
        <w:ind w:firstLine="420" w:firstLineChars="200"/>
        <w:textAlignment w:val="auto"/>
        <w:rPr>
          <w:rFonts w:hint="default" w:ascii="宋体" w:hAnsi="宋体" w:eastAsia="宋体" w:cs="宋体"/>
          <w:szCs w:val="21"/>
          <w:highlight w:val="none"/>
          <w:u w:val="single"/>
          <w:lang w:val="en-US" w:eastAsia="zh-CN"/>
        </w:rPr>
      </w:pPr>
      <w:bookmarkStart w:id="16" w:name="_Toc4489_WPSOffice_Level3"/>
      <w:r>
        <w:rPr>
          <w:rFonts w:hint="eastAsia" w:ascii="宋体" w:hAnsi="宋体" w:eastAsia="宋体" w:cs="宋体"/>
          <w:szCs w:val="21"/>
          <w:highlight w:val="none"/>
        </w:rPr>
        <w:t>2.1 采购方式：</w:t>
      </w:r>
      <w:bookmarkEnd w:id="16"/>
      <w:r>
        <w:rPr>
          <w:rFonts w:hint="eastAsia" w:ascii="宋体" w:hAnsi="宋体" w:eastAsia="宋体" w:cs="宋体"/>
          <w:szCs w:val="21"/>
          <w:highlight w:val="none"/>
          <w:u w:val="single"/>
          <w:lang w:val="en-US" w:eastAsia="zh-CN"/>
        </w:rPr>
        <w:t xml:space="preserve">  询比采购   </w:t>
      </w:r>
    </w:p>
    <w:p>
      <w:pPr>
        <w:pageBreakBefore w:val="0"/>
        <w:kinsoku/>
        <w:wordWrap/>
        <w:overflowPunct/>
        <w:topLinePunct w:val="0"/>
        <w:autoSpaceDE/>
        <w:autoSpaceDN/>
        <w:bidi w:val="0"/>
        <w:adjustRightInd/>
        <w:snapToGrid w:val="0"/>
        <w:spacing w:line="440" w:lineRule="exact"/>
        <w:ind w:firstLine="420" w:firstLineChars="200"/>
        <w:textAlignment w:val="auto"/>
        <w:rPr>
          <w:rFonts w:hint="eastAsia" w:ascii="宋体" w:hAnsi="宋体" w:eastAsia="宋体" w:cs="宋体"/>
          <w:szCs w:val="21"/>
          <w:highlight w:val="none"/>
        </w:rPr>
      </w:pPr>
      <w:bookmarkStart w:id="17" w:name="_Toc23266_WPSOffice_Level3"/>
      <w:r>
        <w:rPr>
          <w:rFonts w:hint="eastAsia" w:ascii="宋体" w:hAnsi="宋体" w:eastAsia="宋体" w:cs="宋体"/>
          <w:szCs w:val="21"/>
          <w:highlight w:val="none"/>
        </w:rPr>
        <w:t>2.2 资金来源及比例：</w:t>
      </w:r>
      <w:bookmarkEnd w:id="17"/>
      <w:bookmarkStart w:id="18" w:name="_Toc22379_WPSOffice_Level3"/>
      <w:r>
        <w:rPr>
          <w:rFonts w:hint="eastAsia" w:ascii="宋体" w:hAnsi="宋体" w:eastAsia="宋体" w:cs="宋体"/>
          <w:szCs w:val="21"/>
          <w:highlight w:val="none"/>
          <w:u w:val="single"/>
        </w:rPr>
        <w:t>100%来自企业自筹</w:t>
      </w:r>
    </w:p>
    <w:p>
      <w:pPr>
        <w:pageBreakBefore w:val="0"/>
        <w:kinsoku/>
        <w:wordWrap/>
        <w:overflowPunct/>
        <w:topLinePunct w:val="0"/>
        <w:autoSpaceDE/>
        <w:autoSpaceDN/>
        <w:bidi w:val="0"/>
        <w:adjustRightInd/>
        <w:snapToGrid w:val="0"/>
        <w:spacing w:line="440" w:lineRule="exact"/>
        <w:ind w:firstLine="420" w:firstLineChars="200"/>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2.3 采购范围：</w:t>
      </w:r>
      <w:r>
        <w:rPr>
          <w:rFonts w:hint="eastAsia" w:ascii="宋体" w:hAnsi="宋体" w:eastAsia="宋体" w:cs="宋体"/>
          <w:sz w:val="21"/>
          <w:szCs w:val="21"/>
          <w:highlight w:val="none"/>
          <w:u w:val="single"/>
          <w:lang w:val="en-US" w:eastAsia="zh-CN"/>
        </w:rPr>
        <w:t>服务区综合楼、收费站宿舍楼空气源热泵采购及安装项目，具体规格详见第五章工程量清单。</w:t>
      </w:r>
      <w:r>
        <w:rPr>
          <w:rFonts w:hint="eastAsia" w:ascii="宋体" w:hAnsi="宋体" w:eastAsia="宋体" w:cs="宋体"/>
          <w:szCs w:val="21"/>
          <w:highlight w:val="none"/>
          <w:lang w:val="en-US" w:eastAsia="zh-CN"/>
        </w:rPr>
        <w:t xml:space="preserve">                                                           </w:t>
      </w:r>
    </w:p>
    <w:p>
      <w:pPr>
        <w:pageBreakBefore w:val="0"/>
        <w:kinsoku/>
        <w:wordWrap/>
        <w:overflowPunct/>
        <w:topLinePunct w:val="0"/>
        <w:autoSpaceDE/>
        <w:autoSpaceDN/>
        <w:bidi w:val="0"/>
        <w:adjustRightInd/>
        <w:snapToGrid w:val="0"/>
        <w:spacing w:line="440" w:lineRule="exact"/>
        <w:ind w:firstLine="420" w:firstLineChars="200"/>
        <w:textAlignment w:val="auto"/>
        <w:rPr>
          <w:rFonts w:hint="default" w:ascii="宋体" w:hAnsi="宋体" w:eastAsia="宋体" w:cs="宋体"/>
          <w:szCs w:val="21"/>
          <w:highlight w:val="none"/>
          <w:lang w:val="en-US" w:eastAsia="zh-CN"/>
        </w:rPr>
      </w:pPr>
      <w:r>
        <w:rPr>
          <w:rFonts w:hint="eastAsia" w:ascii="宋体" w:hAnsi="宋体" w:eastAsia="宋体" w:cs="宋体"/>
          <w:sz w:val="21"/>
          <w:szCs w:val="21"/>
          <w:highlight w:val="none"/>
          <w:u w:val="none"/>
          <w:lang w:val="en-US" w:eastAsia="zh-CN"/>
        </w:rPr>
        <w:t>2.4 推荐品牌范围：</w:t>
      </w:r>
      <w:r>
        <w:rPr>
          <w:rFonts w:hint="eastAsia" w:ascii="宋体" w:hAnsi="宋体" w:eastAsia="宋体" w:cs="宋体"/>
          <w:sz w:val="21"/>
          <w:szCs w:val="21"/>
          <w:highlight w:val="none"/>
          <w:u w:val="single"/>
          <w:lang w:val="en-US" w:eastAsia="zh-CN"/>
        </w:rPr>
        <w:t xml:space="preserve"> 四季沐歌、美的、格力、荣事达、太阳雨或相当于上述档次的品牌。</w:t>
      </w:r>
      <w:r>
        <w:rPr>
          <w:rFonts w:hint="eastAsia" w:ascii="宋体" w:hAnsi="宋体" w:eastAsia="宋体" w:cs="宋体"/>
          <w:szCs w:val="21"/>
          <w:highlight w:val="none"/>
          <w:lang w:val="en-US" w:eastAsia="zh-CN"/>
        </w:rPr>
        <w:t xml:space="preserve">                                                     </w:t>
      </w:r>
    </w:p>
    <w:p>
      <w:pPr>
        <w:pageBreakBefore w:val="0"/>
        <w:kinsoku/>
        <w:wordWrap/>
        <w:overflowPunct/>
        <w:topLinePunct w:val="0"/>
        <w:autoSpaceDE/>
        <w:autoSpaceDN/>
        <w:bidi w:val="0"/>
        <w:adjustRightInd/>
        <w:snapToGrid w:val="0"/>
        <w:spacing w:line="440" w:lineRule="exact"/>
        <w:ind w:firstLine="420" w:firstLineChars="200"/>
        <w:textAlignment w:val="auto"/>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2.5 合同包划分：</w:t>
      </w:r>
      <w:r>
        <w:rPr>
          <w:rFonts w:hint="eastAsia" w:ascii="宋体" w:hAnsi="宋体" w:eastAsia="宋体" w:cs="宋体"/>
          <w:szCs w:val="21"/>
          <w:highlight w:val="none"/>
          <w:u w:val="single"/>
          <w:lang w:val="en-US" w:eastAsia="zh-CN"/>
        </w:rPr>
        <w:t xml:space="preserve"> 1个包         </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 xml:space="preserve">   </w:t>
      </w:r>
      <w:r>
        <w:rPr>
          <w:rFonts w:hint="eastAsia" w:ascii="宋体" w:hAnsi="宋体" w:eastAsia="宋体" w:cs="宋体"/>
          <w:szCs w:val="21"/>
          <w:highlight w:val="none"/>
          <w:lang w:val="en-US" w:eastAsia="zh-CN"/>
        </w:rPr>
        <w:t xml:space="preserve">                 </w:t>
      </w:r>
    </w:p>
    <w:p>
      <w:pPr>
        <w:pageBreakBefore w:val="0"/>
        <w:kinsoku/>
        <w:wordWrap/>
        <w:overflowPunct/>
        <w:topLinePunct w:val="0"/>
        <w:autoSpaceDE/>
        <w:autoSpaceDN/>
        <w:bidi w:val="0"/>
        <w:adjustRightInd/>
        <w:snapToGrid w:val="0"/>
        <w:spacing w:line="440" w:lineRule="exact"/>
        <w:ind w:firstLine="420" w:firstLineChars="200"/>
        <w:textAlignment w:val="auto"/>
        <w:rPr>
          <w:rFonts w:hint="eastAsia" w:ascii="宋体" w:hAnsi="宋体" w:eastAsia="宋体" w:cs="宋体"/>
          <w:szCs w:val="21"/>
          <w:highlight w:val="none"/>
        </w:rPr>
      </w:pPr>
      <w:r>
        <w:rPr>
          <w:rFonts w:hint="eastAsia" w:ascii="宋体" w:hAnsi="宋体" w:eastAsia="宋体" w:cs="宋体"/>
          <w:szCs w:val="21"/>
          <w:highlight w:val="none"/>
        </w:rPr>
        <w:t>2.</w:t>
      </w:r>
      <w:r>
        <w:rPr>
          <w:rFonts w:hint="eastAsia" w:ascii="宋体" w:hAnsi="宋体" w:eastAsia="宋体" w:cs="宋体"/>
          <w:szCs w:val="21"/>
          <w:highlight w:val="none"/>
          <w:lang w:val="en-US" w:eastAsia="zh-CN"/>
        </w:rPr>
        <w:t>6</w:t>
      </w:r>
      <w:r>
        <w:rPr>
          <w:rFonts w:hint="eastAsia" w:ascii="宋体" w:hAnsi="宋体" w:eastAsia="宋体" w:cs="宋体"/>
          <w:szCs w:val="21"/>
          <w:highlight w:val="none"/>
        </w:rPr>
        <w:t xml:space="preserve"> 最高限价：</w:t>
      </w:r>
      <w:bookmarkEnd w:id="18"/>
      <w:r>
        <w:rPr>
          <w:rFonts w:hint="eastAsia" w:ascii="宋体" w:hAnsi="宋体" w:eastAsia="宋体" w:cs="宋体"/>
          <w:szCs w:val="21"/>
          <w:highlight w:val="none"/>
          <w:u w:val="single"/>
          <w:lang w:val="en-US" w:eastAsia="zh-CN"/>
        </w:rPr>
        <w:t xml:space="preserve"> 104万元     </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 xml:space="preserve"> </w:t>
      </w:r>
    </w:p>
    <w:p>
      <w:pPr>
        <w:pageBreakBefore w:val="0"/>
        <w:kinsoku/>
        <w:wordWrap/>
        <w:overflowPunct/>
        <w:topLinePunct w:val="0"/>
        <w:autoSpaceDE/>
        <w:autoSpaceDN/>
        <w:bidi w:val="0"/>
        <w:adjustRightInd/>
        <w:snapToGrid w:val="0"/>
        <w:spacing w:line="440" w:lineRule="exact"/>
        <w:ind w:firstLine="420" w:firstLineChars="200"/>
        <w:textAlignment w:val="auto"/>
        <w:rPr>
          <w:rFonts w:hint="eastAsia" w:ascii="宋体" w:hAnsi="宋体" w:eastAsia="宋体" w:cs="宋体"/>
          <w:szCs w:val="21"/>
          <w:highlight w:val="none"/>
        </w:rPr>
      </w:pPr>
      <w:r>
        <w:rPr>
          <w:rFonts w:hint="eastAsia" w:ascii="宋体" w:hAnsi="宋体" w:eastAsia="宋体" w:cs="宋体"/>
          <w:szCs w:val="21"/>
          <w:highlight w:val="none"/>
        </w:rPr>
        <w:t>2.</w:t>
      </w:r>
      <w:r>
        <w:rPr>
          <w:rFonts w:hint="eastAsia" w:ascii="宋体" w:hAnsi="宋体" w:eastAsia="宋体" w:cs="宋体"/>
          <w:szCs w:val="21"/>
          <w:highlight w:val="none"/>
          <w:lang w:val="en-US" w:eastAsia="zh-CN"/>
        </w:rPr>
        <w:t>7</w:t>
      </w:r>
      <w:r>
        <w:rPr>
          <w:rFonts w:hint="eastAsia" w:ascii="宋体" w:hAnsi="宋体" w:eastAsia="宋体" w:cs="宋体"/>
          <w:szCs w:val="21"/>
          <w:highlight w:val="none"/>
        </w:rPr>
        <w:t xml:space="preserve"> </w:t>
      </w:r>
      <w:r>
        <w:rPr>
          <w:rFonts w:hint="eastAsia" w:ascii="宋体" w:hAnsi="宋体" w:eastAsia="宋体" w:cs="宋体"/>
          <w:szCs w:val="21"/>
          <w:highlight w:val="none"/>
          <w:lang w:val="en-US" w:eastAsia="zh-CN"/>
        </w:rPr>
        <w:t>供货周期</w:t>
      </w:r>
      <w:r>
        <w:rPr>
          <w:rFonts w:hint="eastAsia" w:ascii="宋体" w:hAnsi="宋体" w:eastAsia="宋体" w:cs="宋体"/>
          <w:szCs w:val="21"/>
          <w:highlight w:val="none"/>
        </w:rPr>
        <w:t>：</w:t>
      </w:r>
      <w:r>
        <w:rPr>
          <w:rFonts w:hint="eastAsia" w:ascii="Times New Roman" w:hAnsi="Times New Roman" w:eastAsia="宋体" w:cs="Times New Roman"/>
          <w:szCs w:val="22"/>
          <w:highlight w:val="none"/>
          <w:u w:val="single"/>
          <w:lang w:val="en-US" w:eastAsia="zh-CN"/>
        </w:rPr>
        <w:t>具体</w:t>
      </w:r>
      <w:r>
        <w:rPr>
          <w:rFonts w:hint="eastAsia" w:ascii="Times New Roman" w:hAnsi="Times New Roman" w:cs="Times New Roman"/>
          <w:szCs w:val="22"/>
          <w:highlight w:val="none"/>
          <w:u w:val="single"/>
        </w:rPr>
        <w:t>根据实际情况安排进度</w:t>
      </w:r>
      <w:r>
        <w:rPr>
          <w:rFonts w:hint="eastAsia" w:ascii="宋体" w:hAnsi="宋体" w:eastAsia="宋体" w:cs="宋体"/>
          <w:sz w:val="21"/>
          <w:szCs w:val="21"/>
          <w:highlight w:val="none"/>
          <w:u w:val="none"/>
          <w:lang w:val="en-US" w:eastAsia="zh-CN"/>
        </w:rPr>
        <w:t>。</w:t>
      </w:r>
      <w:r>
        <w:rPr>
          <w:rFonts w:hint="eastAsia" w:ascii="宋体" w:hAnsi="宋体" w:eastAsia="宋体" w:cs="宋体"/>
          <w:szCs w:val="21"/>
          <w:highlight w:val="none"/>
          <w:u w:val="none"/>
          <w:lang w:val="en-US" w:eastAsia="zh-CN"/>
        </w:rPr>
        <w:t xml:space="preserve"> </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 xml:space="preserve"> </w:t>
      </w:r>
    </w:p>
    <w:p>
      <w:pPr>
        <w:pStyle w:val="4"/>
        <w:pageBreakBefore w:val="0"/>
        <w:kinsoku/>
        <w:wordWrap/>
        <w:overflowPunct/>
        <w:topLinePunct w:val="0"/>
        <w:autoSpaceDE/>
        <w:autoSpaceDN/>
        <w:bidi w:val="0"/>
        <w:adjustRightInd/>
        <w:snapToGrid w:val="0"/>
        <w:spacing w:before="120" w:after="120" w:line="440" w:lineRule="exact"/>
        <w:ind w:firstLine="403"/>
        <w:textAlignment w:val="auto"/>
        <w:rPr>
          <w:rFonts w:ascii="Times New Roman" w:hAnsi="Times New Roman" w:eastAsia="黑体" w:cs="Times New Roman"/>
          <w:b w:val="0"/>
          <w:sz w:val="22"/>
          <w:szCs w:val="15"/>
          <w:highlight w:val="none"/>
        </w:rPr>
      </w:pPr>
      <w:bookmarkStart w:id="19" w:name="_Toc22379_WPSOffice_Level2"/>
      <w:bookmarkStart w:id="20" w:name="_Toc525632587"/>
      <w:bookmarkStart w:id="21" w:name="_Toc1622_WPSOffice_Level2"/>
      <w:bookmarkStart w:id="22" w:name="_Toc3714"/>
      <w:bookmarkStart w:id="23" w:name="_Toc6388"/>
      <w:bookmarkStart w:id="24" w:name="_Toc29516_WPSOffice_Level2"/>
      <w:bookmarkStart w:id="25" w:name="_Toc31673_WPSOffice_Level2"/>
      <w:r>
        <w:rPr>
          <w:rFonts w:ascii="Times New Roman" w:hAnsi="Times New Roman" w:eastAsia="黑体" w:cs="Times New Roman"/>
          <w:b w:val="0"/>
          <w:sz w:val="22"/>
          <w:szCs w:val="15"/>
          <w:highlight w:val="none"/>
        </w:rPr>
        <w:t>供应商资格条件</w:t>
      </w:r>
      <w:bookmarkEnd w:id="19"/>
      <w:bookmarkEnd w:id="20"/>
      <w:bookmarkEnd w:id="21"/>
      <w:bookmarkEnd w:id="22"/>
      <w:bookmarkEnd w:id="23"/>
      <w:bookmarkEnd w:id="24"/>
      <w:bookmarkEnd w:id="25"/>
      <w:r>
        <w:rPr>
          <w:rFonts w:hint="eastAsia" w:ascii="Times New Roman" w:hAnsi="Times New Roman" w:eastAsia="黑体" w:cs="Times New Roman"/>
          <w:b w:val="0"/>
          <w:sz w:val="22"/>
          <w:szCs w:val="15"/>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eastAsia" w:ascii="宋体" w:hAnsi="宋体" w:eastAsia="宋体" w:cs="宋体"/>
          <w:szCs w:val="22"/>
          <w:highlight w:val="none"/>
        </w:rPr>
      </w:pPr>
      <w:r>
        <w:rPr>
          <w:rFonts w:hint="eastAsia" w:ascii="宋体" w:hAnsi="宋体" w:eastAsia="宋体" w:cs="宋体"/>
          <w:szCs w:val="22"/>
          <w:highlight w:val="none"/>
        </w:rPr>
        <w:t>3.1 本次采购要求供应商须同时具备：</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eastAsia"/>
          <w:highlight w:val="none"/>
        </w:rPr>
      </w:pPr>
      <w:r>
        <w:rPr>
          <w:rFonts w:hint="eastAsia" w:ascii="Times New Roman" w:hAnsi="Times New Roman" w:cs="Times New Roman"/>
          <w:szCs w:val="22"/>
          <w:highlight w:val="none"/>
          <w:lang w:val="en-US" w:eastAsia="zh-CN"/>
        </w:rPr>
        <w:t>（1）</w:t>
      </w:r>
      <w:r>
        <w:rPr>
          <w:rFonts w:hint="eastAsia" w:ascii="Times New Roman" w:hAnsi="Times New Roman" w:cs="Times New Roman"/>
          <w:szCs w:val="22"/>
          <w:highlight w:val="none"/>
        </w:rPr>
        <w:t>资质最低要求：</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b w:val="0"/>
          <w:bCs w:val="0"/>
          <w:highlight w:val="none"/>
          <w:lang w:val="en-US" w:eastAsia="zh-CN"/>
        </w:rPr>
      </w:pPr>
      <w:r>
        <w:rPr>
          <w:rFonts w:hint="eastAsia"/>
          <w:b w:val="0"/>
          <w:bCs w:val="0"/>
          <w:highlight w:val="none"/>
          <w:lang w:val="en-US" w:eastAsia="zh-CN"/>
        </w:rPr>
        <w:t>①</w:t>
      </w:r>
      <w:r>
        <w:rPr>
          <w:rFonts w:hint="eastAsia"/>
          <w:b w:val="0"/>
          <w:bCs w:val="0"/>
          <w:highlight w:val="none"/>
        </w:rPr>
        <w:t>具备独立法人资格，持有有效的营业执照</w:t>
      </w:r>
      <w:r>
        <w:rPr>
          <w:rFonts w:hint="eastAsia"/>
          <w:b w:val="0"/>
          <w:bCs w:val="0"/>
          <w:highlight w:val="none"/>
          <w:lang w:val="en-US" w:eastAsia="zh-CN"/>
        </w:rPr>
        <w:t xml:space="preserve">。 </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b w:val="0"/>
          <w:bCs w:val="0"/>
          <w:highlight w:val="none"/>
          <w:lang w:val="en-US" w:eastAsia="zh-CN"/>
        </w:rPr>
      </w:pPr>
      <w:r>
        <w:rPr>
          <w:rFonts w:hint="eastAsia"/>
          <w:b w:val="0"/>
          <w:bCs w:val="0"/>
          <w:highlight w:val="none"/>
          <w:lang w:val="en-US" w:eastAsia="zh-CN"/>
        </w:rPr>
        <w:t>②制造商/厂家参与询比的，应具备有生产、销售采购人所需材料的能力；制造商的授权代理商参加询比的，应具备</w:t>
      </w:r>
      <w:r>
        <w:rPr>
          <w:rFonts w:hint="eastAsia"/>
          <w:b/>
          <w:bCs/>
          <w:highlight w:val="none"/>
          <w:lang w:val="en-US" w:eastAsia="zh-CN"/>
        </w:rPr>
        <w:t>代理证书/品牌授权书</w:t>
      </w:r>
      <w:r>
        <w:rPr>
          <w:rFonts w:hint="eastAsia"/>
          <w:b w:val="0"/>
          <w:bCs w:val="0"/>
          <w:highlight w:val="none"/>
          <w:lang w:val="en-US" w:eastAsia="zh-CN"/>
        </w:rPr>
        <w:t>，有生产、销售采购人所需材料的能力。</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20" w:firstLineChars="200"/>
        <w:textAlignment w:val="auto"/>
        <w:rPr>
          <w:rFonts w:hint="eastAsia" w:ascii="Times New Roman" w:hAnsi="Times New Roman" w:cs="Times New Roman"/>
          <w:szCs w:val="22"/>
          <w:highlight w:val="none"/>
        </w:rPr>
      </w:pPr>
      <w:r>
        <w:rPr>
          <w:rFonts w:hint="eastAsia" w:ascii="Times New Roman" w:hAnsi="Times New Roman" w:cs="Times New Roman"/>
          <w:szCs w:val="22"/>
          <w:highlight w:val="none"/>
          <w:lang w:eastAsia="zh-CN"/>
        </w:rPr>
        <w:t>（</w:t>
      </w:r>
      <w:r>
        <w:rPr>
          <w:rFonts w:hint="eastAsia" w:ascii="Times New Roman" w:hAnsi="Times New Roman" w:cs="Times New Roman"/>
          <w:szCs w:val="22"/>
          <w:highlight w:val="none"/>
          <w:lang w:val="en-US" w:eastAsia="zh-CN"/>
        </w:rPr>
        <w:t>2</w:t>
      </w:r>
      <w:r>
        <w:rPr>
          <w:rFonts w:hint="eastAsia" w:ascii="Times New Roman" w:hAnsi="Times New Roman" w:cs="Times New Roman"/>
          <w:szCs w:val="22"/>
          <w:highlight w:val="none"/>
          <w:lang w:eastAsia="zh-CN"/>
        </w:rPr>
        <w:t>）</w:t>
      </w:r>
      <w:r>
        <w:rPr>
          <w:rFonts w:hint="eastAsia" w:ascii="Times New Roman" w:hAnsi="Times New Roman" w:cs="Times New Roman"/>
          <w:szCs w:val="22"/>
          <w:highlight w:val="none"/>
        </w:rPr>
        <w:t>业绩最低要求：</w:t>
      </w:r>
    </w:p>
    <w:p>
      <w:pPr>
        <w:pStyle w:val="7"/>
        <w:keepNext w:val="0"/>
        <w:keepLines w:val="0"/>
        <w:pageBreakBefore w:val="0"/>
        <w:widowControl w:val="0"/>
        <w:kinsoku/>
        <w:wordWrap/>
        <w:overflowPunct/>
        <w:topLinePunct w:val="0"/>
        <w:autoSpaceDE/>
        <w:autoSpaceDN/>
        <w:bidi w:val="0"/>
        <w:adjustRightInd/>
        <w:snapToGrid w:val="0"/>
        <w:spacing w:after="0" w:line="440" w:lineRule="exact"/>
        <w:ind w:firstLine="420" w:firstLineChars="200"/>
        <w:jc w:val="both"/>
        <w:textAlignment w:val="auto"/>
        <w:rPr>
          <w:rFonts w:hint="eastAsia" w:ascii="宋体" w:hAnsi="宋体" w:eastAsia="宋体" w:cs="宋体"/>
          <w:b/>
          <w:bCs/>
          <w:highlight w:val="none"/>
          <w:u w:val="single"/>
          <w:lang w:val="en-US" w:eastAsia="zh-CN"/>
        </w:rPr>
      </w:pPr>
      <w:r>
        <w:rPr>
          <w:rFonts w:hint="eastAsia" w:ascii="宋体" w:hAnsi="宋体" w:eastAsia="宋体" w:cs="宋体"/>
          <w:b/>
          <w:bCs/>
          <w:highlight w:val="none"/>
          <w:u w:val="single"/>
          <w:lang w:val="en-US" w:eastAsia="zh-CN"/>
        </w:rPr>
        <w:t xml:space="preserve"> 自 2021 年 1 月 1 日以来（以合同签订时间为准），投标人具有空气源热水供应系统设备的供货及安装业绩，且单个合同中空气源热水供应系统设备供货安装金额不少于 50万元。</w:t>
      </w:r>
    </w:p>
    <w:p>
      <w:pPr>
        <w:keepNext w:val="0"/>
        <w:keepLines w:val="0"/>
        <w:pageBreakBefore w:val="0"/>
        <w:widowControl w:val="0"/>
        <w:numPr>
          <w:ilvl w:val="255"/>
          <w:numId w:val="0"/>
        </w:numPr>
        <w:kinsoku/>
        <w:wordWrap/>
        <w:overflowPunct/>
        <w:topLinePunct w:val="0"/>
        <w:autoSpaceDE/>
        <w:autoSpaceDN/>
        <w:bidi w:val="0"/>
        <w:adjustRightInd/>
        <w:snapToGrid w:val="0"/>
        <w:spacing w:line="440" w:lineRule="exact"/>
        <w:ind w:firstLine="420" w:firstLineChars="200"/>
        <w:jc w:val="both"/>
        <w:textAlignment w:val="auto"/>
        <w:rPr>
          <w:rFonts w:hint="eastAsia"/>
          <w:highlight w:val="none"/>
          <w:lang w:val="en-US" w:eastAsia="zh-CN"/>
        </w:rPr>
      </w:pPr>
      <w:r>
        <w:rPr>
          <w:rFonts w:hint="eastAsia" w:asciiTheme="minorHAnsi" w:eastAsiaTheme="minorEastAsia"/>
          <w:highlight w:val="none"/>
          <w:lang w:val="en-US" w:eastAsia="zh-CN"/>
        </w:rPr>
        <w:t>业绩证明材料要求：</w:t>
      </w:r>
    </w:p>
    <w:p>
      <w:pPr>
        <w:pStyle w:val="7"/>
        <w:keepNext w:val="0"/>
        <w:keepLines w:val="0"/>
        <w:pageBreakBefore w:val="0"/>
        <w:widowControl w:val="0"/>
        <w:kinsoku/>
        <w:wordWrap/>
        <w:overflowPunct/>
        <w:topLinePunct w:val="0"/>
        <w:autoSpaceDE/>
        <w:autoSpaceDN/>
        <w:bidi w:val="0"/>
        <w:adjustRightInd/>
        <w:snapToGrid/>
        <w:spacing w:after="0" w:line="440" w:lineRule="exact"/>
        <w:ind w:left="0" w:leftChars="0" w:firstLine="420" w:firstLineChars="200"/>
        <w:textAlignment w:val="auto"/>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①合同协议书</w:t>
      </w:r>
      <w:r>
        <w:rPr>
          <w:rFonts w:hint="eastAsia" w:cstheme="minorBidi"/>
          <w:kern w:val="2"/>
          <w:sz w:val="21"/>
          <w:szCs w:val="24"/>
          <w:highlight w:val="none"/>
          <w:lang w:val="en-US" w:eastAsia="zh-CN" w:bidi="ar-SA"/>
        </w:rPr>
        <w:t>扫描</w:t>
      </w:r>
      <w:r>
        <w:rPr>
          <w:rFonts w:hint="eastAsia" w:asciiTheme="minorHAnsi" w:hAnsiTheme="minorHAnsi" w:eastAsiaTheme="minorEastAsia" w:cstheme="minorBidi"/>
          <w:kern w:val="2"/>
          <w:sz w:val="21"/>
          <w:szCs w:val="24"/>
          <w:highlight w:val="none"/>
          <w:lang w:val="en-US" w:eastAsia="zh-CN" w:bidi="ar-SA"/>
        </w:rPr>
        <w:t xml:space="preserve">件；                                                                                                                                                                                                                                                                                                                                                                                                                                                                                                                                                                                                                                                                                                                                                                                                                                                                                                                                                                                                                                                                                                                                                                                                                                                                                                                                                                                                                                                                                                                                                                                                                                                                                                                                                                                                                                                                                                                                                                                                                                                                                                                                                                          </w:t>
      </w:r>
    </w:p>
    <w:p>
      <w:pPr>
        <w:pStyle w:val="7"/>
        <w:keepNext w:val="0"/>
        <w:keepLines w:val="0"/>
        <w:pageBreakBefore w:val="0"/>
        <w:widowControl w:val="0"/>
        <w:kinsoku/>
        <w:wordWrap/>
        <w:overflowPunct/>
        <w:topLinePunct w:val="0"/>
        <w:autoSpaceDE/>
        <w:autoSpaceDN/>
        <w:bidi w:val="0"/>
        <w:adjustRightInd/>
        <w:snapToGrid/>
        <w:spacing w:after="0" w:line="440" w:lineRule="exact"/>
        <w:ind w:left="0" w:leftChars="0" w:firstLine="420" w:firstLineChars="200"/>
        <w:textAlignment w:val="auto"/>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②若合同协议书中不能明确反映出</w:t>
      </w:r>
      <w:r>
        <w:rPr>
          <w:rFonts w:hint="eastAsia" w:cstheme="minorBidi"/>
          <w:kern w:val="2"/>
          <w:sz w:val="21"/>
          <w:szCs w:val="24"/>
          <w:highlight w:val="none"/>
          <w:lang w:val="en-US" w:eastAsia="zh-CN" w:bidi="ar-SA"/>
        </w:rPr>
        <w:t>采购文件</w:t>
      </w:r>
      <w:r>
        <w:rPr>
          <w:rFonts w:hint="eastAsia" w:asciiTheme="minorHAnsi" w:hAnsiTheme="minorHAnsi" w:eastAsiaTheme="minorEastAsia" w:cstheme="minorBidi"/>
          <w:kern w:val="2"/>
          <w:sz w:val="21"/>
          <w:szCs w:val="24"/>
          <w:highlight w:val="none"/>
          <w:lang w:val="en-US" w:eastAsia="zh-CN" w:bidi="ar-SA"/>
        </w:rPr>
        <w:t>所要求内容的（如合同金额、合同签订时间、供货内容等），则须提供业主单位（甲方）出具加盖公章的证明材料</w:t>
      </w:r>
      <w:r>
        <w:rPr>
          <w:rFonts w:hint="eastAsia" w:cstheme="minorBidi"/>
          <w:kern w:val="2"/>
          <w:sz w:val="21"/>
          <w:szCs w:val="24"/>
          <w:highlight w:val="none"/>
          <w:lang w:val="en-US" w:eastAsia="zh-CN" w:bidi="ar-SA"/>
        </w:rPr>
        <w:t>复印</w:t>
      </w:r>
      <w:r>
        <w:rPr>
          <w:rFonts w:hint="eastAsia" w:asciiTheme="minorHAnsi" w:hAnsiTheme="minorHAnsi" w:eastAsiaTheme="minorEastAsia" w:cstheme="minorBidi"/>
          <w:kern w:val="2"/>
          <w:sz w:val="21"/>
          <w:szCs w:val="24"/>
          <w:highlight w:val="none"/>
          <w:lang w:val="en-US" w:eastAsia="zh-CN" w:bidi="ar-SA"/>
        </w:rPr>
        <w:t>件。</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eastAsia" w:ascii="Times New Roman" w:hAnsi="Times New Roman" w:cs="Times New Roman"/>
          <w:szCs w:val="22"/>
          <w:highlight w:val="none"/>
          <w:lang w:val="en-US" w:eastAsia="zh-CN"/>
        </w:rPr>
      </w:pPr>
      <w:r>
        <w:rPr>
          <w:rFonts w:hint="eastAsia" w:asciiTheme="minorHAnsi" w:hAnsiTheme="minorHAnsi" w:eastAsiaTheme="minorEastAsia" w:cstheme="minorBidi"/>
          <w:kern w:val="2"/>
          <w:sz w:val="21"/>
          <w:szCs w:val="24"/>
          <w:highlight w:val="none"/>
          <w:lang w:val="en-US" w:eastAsia="zh-CN" w:bidi="ar-SA"/>
        </w:rPr>
        <w:t>③若同一业绩合同中包含多项</w:t>
      </w:r>
      <w:r>
        <w:rPr>
          <w:rFonts w:hint="eastAsia" w:asciiTheme="minorHAnsi" w:hAnsiTheme="minorHAnsi" w:cstheme="minorBidi"/>
          <w:kern w:val="2"/>
          <w:sz w:val="21"/>
          <w:szCs w:val="24"/>
          <w:highlight w:val="none"/>
          <w:lang w:val="en-US" w:eastAsia="zh-CN" w:bidi="ar-SA"/>
        </w:rPr>
        <w:t>材料（</w:t>
      </w:r>
      <w:r>
        <w:rPr>
          <w:rFonts w:hint="eastAsia" w:asciiTheme="minorHAnsi" w:hAnsiTheme="minorHAnsi" w:eastAsiaTheme="minorEastAsia" w:cstheme="minorBidi"/>
          <w:kern w:val="2"/>
          <w:sz w:val="21"/>
          <w:szCs w:val="24"/>
          <w:highlight w:val="none"/>
          <w:lang w:val="en-US" w:eastAsia="zh-CN" w:bidi="ar-SA"/>
        </w:rPr>
        <w:t>设备</w:t>
      </w:r>
      <w:r>
        <w:rPr>
          <w:rFonts w:hint="eastAsia" w:asciiTheme="minorHAnsi" w:hAnsiTheme="minorHAnsi" w:cstheme="minorBidi"/>
          <w:kern w:val="2"/>
          <w:sz w:val="21"/>
          <w:szCs w:val="24"/>
          <w:highlight w:val="none"/>
          <w:lang w:val="en-US" w:eastAsia="zh-CN" w:bidi="ar-SA"/>
        </w:rPr>
        <w:t>）</w:t>
      </w:r>
      <w:r>
        <w:rPr>
          <w:rFonts w:hint="eastAsia" w:asciiTheme="minorHAnsi" w:hAnsiTheme="minorHAnsi" w:eastAsiaTheme="minorEastAsia" w:cstheme="minorBidi"/>
          <w:kern w:val="2"/>
          <w:sz w:val="21"/>
          <w:szCs w:val="24"/>
          <w:highlight w:val="none"/>
          <w:lang w:val="en-US" w:eastAsia="zh-CN" w:bidi="ar-SA"/>
        </w:rPr>
        <w:t>，则合同中应能体现资格要求中所需</w:t>
      </w:r>
      <w:r>
        <w:rPr>
          <w:rFonts w:hint="eastAsia" w:asciiTheme="minorHAnsi" w:hAnsiTheme="minorHAnsi" w:cstheme="minorBidi"/>
          <w:kern w:val="2"/>
          <w:sz w:val="21"/>
          <w:szCs w:val="24"/>
          <w:highlight w:val="none"/>
          <w:lang w:val="en-US" w:eastAsia="zh-CN" w:bidi="ar-SA"/>
        </w:rPr>
        <w:t>材料（</w:t>
      </w:r>
      <w:r>
        <w:rPr>
          <w:rFonts w:hint="eastAsia" w:asciiTheme="minorHAnsi" w:hAnsiTheme="minorHAnsi" w:eastAsiaTheme="minorEastAsia" w:cstheme="minorBidi"/>
          <w:kern w:val="2"/>
          <w:sz w:val="21"/>
          <w:szCs w:val="24"/>
          <w:highlight w:val="none"/>
          <w:lang w:val="en-US" w:eastAsia="zh-CN" w:bidi="ar-SA"/>
        </w:rPr>
        <w:t>设备</w:t>
      </w:r>
      <w:r>
        <w:rPr>
          <w:rFonts w:hint="eastAsia" w:asciiTheme="minorHAnsi" w:hAnsiTheme="minorHAnsi" w:cstheme="minorBidi"/>
          <w:kern w:val="2"/>
          <w:sz w:val="21"/>
          <w:szCs w:val="24"/>
          <w:highlight w:val="none"/>
          <w:lang w:val="en-US" w:eastAsia="zh-CN" w:bidi="ar-SA"/>
        </w:rPr>
        <w:t>）</w:t>
      </w:r>
      <w:r>
        <w:rPr>
          <w:rFonts w:hint="eastAsia" w:asciiTheme="minorHAnsi" w:hAnsiTheme="minorHAnsi" w:eastAsiaTheme="minorEastAsia" w:cstheme="minorBidi"/>
          <w:kern w:val="2"/>
          <w:sz w:val="21"/>
          <w:szCs w:val="24"/>
          <w:highlight w:val="none"/>
          <w:lang w:val="en-US" w:eastAsia="zh-CN" w:bidi="ar-SA"/>
        </w:rPr>
        <w:t>的内容和金额，无法体现的，须提供供货单据、供货发票、业主验收单等能证明</w:t>
      </w:r>
      <w:r>
        <w:rPr>
          <w:rFonts w:hint="eastAsia" w:ascii="Times New Roman" w:hAnsi="Times New Roman" w:cs="Times New Roman"/>
          <w:szCs w:val="22"/>
          <w:highlight w:val="none"/>
          <w:lang w:val="en-US" w:eastAsia="zh-CN"/>
        </w:rPr>
        <w:t>相关评审因素的证明材料，否则业绩不予认可。</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eastAsia" w:ascii="Times New Roman" w:hAnsi="Times New Roman" w:cs="Times New Roman"/>
          <w:szCs w:val="22"/>
          <w:highlight w:val="none"/>
          <w:lang w:val="en-US" w:eastAsia="zh-CN"/>
        </w:rPr>
      </w:pPr>
      <w:r>
        <w:rPr>
          <w:rFonts w:hint="eastAsia" w:ascii="Times New Roman" w:hAnsi="Times New Roman" w:cs="Times New Roman"/>
          <w:szCs w:val="22"/>
          <w:highlight w:val="none"/>
          <w:lang w:val="en-US" w:eastAsia="zh-CN"/>
        </w:rPr>
        <w:t>（3）信誉要求最低要求：</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ascii="Times New Roman" w:hAnsi="Times New Roman" w:cs="Times New Roman"/>
          <w:szCs w:val="22"/>
          <w:highlight w:val="none"/>
        </w:rPr>
      </w:pPr>
      <w:r>
        <w:rPr>
          <w:rFonts w:ascii="Times New Roman" w:hAnsi="Times New Roman" w:cs="Times New Roman"/>
          <w:szCs w:val="22"/>
          <w:highlight w:val="none"/>
        </w:rPr>
        <w:t>①</w:t>
      </w:r>
      <w:r>
        <w:rPr>
          <w:rFonts w:hint="eastAsia" w:ascii="Times New Roman" w:hAnsi="Times New Roman" w:cs="Times New Roman"/>
          <w:szCs w:val="22"/>
          <w:highlight w:val="none"/>
        </w:rPr>
        <w:t>未被责令停业，暂扣或吊销执照，或吊销资质证书；</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highlight w:val="none"/>
        </w:rPr>
      </w:pPr>
      <w:r>
        <w:rPr>
          <w:rFonts w:hint="eastAsia" w:ascii="Times New Roman" w:hAnsi="Times New Roman" w:cs="Times New Roman"/>
          <w:szCs w:val="22"/>
          <w:highlight w:val="none"/>
        </w:rPr>
        <w:t>②未进入清算程序，或被宣告破产，或其他丧失履约能力的情形；</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ascii="Times New Roman" w:hAnsi="Times New Roman" w:cs="Times New Roman"/>
          <w:szCs w:val="22"/>
          <w:highlight w:val="none"/>
        </w:rPr>
      </w:pPr>
      <w:r>
        <w:rPr>
          <w:rFonts w:hint="eastAsia" w:ascii="Times New Roman" w:hAnsi="Times New Roman" w:cs="Times New Roman"/>
          <w:szCs w:val="22"/>
          <w:highlight w:val="none"/>
        </w:rPr>
        <w:t>③</w:t>
      </w:r>
      <w:r>
        <w:rPr>
          <w:rFonts w:ascii="Times New Roman" w:hAnsi="Times New Roman" w:cs="Times New Roman"/>
          <w:szCs w:val="22"/>
          <w:highlight w:val="none"/>
        </w:rPr>
        <w:t>在国家企业信用信息公示系统（http://www.gsxt.gov.cn）中</w:t>
      </w:r>
      <w:r>
        <w:rPr>
          <w:rFonts w:hint="eastAsia" w:ascii="Times New Roman" w:hAnsi="Times New Roman" w:cs="Times New Roman"/>
          <w:szCs w:val="22"/>
          <w:highlight w:val="none"/>
        </w:rPr>
        <w:t>未</w:t>
      </w:r>
      <w:r>
        <w:rPr>
          <w:rFonts w:ascii="Times New Roman" w:hAnsi="Times New Roman" w:cs="Times New Roman"/>
          <w:szCs w:val="22"/>
          <w:highlight w:val="none"/>
        </w:rPr>
        <w:t>被列入严重违法失信企业名单；</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ascii="Times New Roman" w:hAnsi="Times New Roman" w:cs="Times New Roman"/>
          <w:szCs w:val="22"/>
          <w:highlight w:val="none"/>
        </w:rPr>
      </w:pPr>
      <w:r>
        <w:rPr>
          <w:rFonts w:hint="eastAsia" w:ascii="Times New Roman" w:hAnsi="Times New Roman" w:cs="Times New Roman"/>
          <w:szCs w:val="22"/>
          <w:highlight w:val="none"/>
        </w:rPr>
        <w:t>④</w:t>
      </w:r>
      <w:r>
        <w:rPr>
          <w:rFonts w:ascii="Times New Roman" w:hAnsi="Times New Roman" w:cs="Times New Roman"/>
          <w:szCs w:val="22"/>
          <w:highlight w:val="none"/>
        </w:rPr>
        <w:t>在“信用中国”网站（http://www.creditchina.gov.cn）中</w:t>
      </w:r>
      <w:r>
        <w:rPr>
          <w:rFonts w:hint="eastAsia" w:ascii="Times New Roman" w:hAnsi="Times New Roman" w:cs="Times New Roman"/>
          <w:szCs w:val="22"/>
          <w:highlight w:val="none"/>
        </w:rPr>
        <w:t>未</w:t>
      </w:r>
      <w:r>
        <w:rPr>
          <w:rFonts w:ascii="Times New Roman" w:hAnsi="Times New Roman" w:cs="Times New Roman"/>
          <w:szCs w:val="22"/>
          <w:highlight w:val="none"/>
        </w:rPr>
        <w:t>被列入失信被执行人名单；</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ascii="Times New Roman" w:hAnsi="Times New Roman" w:cs="Times New Roman"/>
          <w:szCs w:val="22"/>
          <w:highlight w:val="none"/>
        </w:rPr>
      </w:pPr>
      <w:r>
        <w:rPr>
          <w:rFonts w:hint="eastAsia" w:ascii="Times New Roman" w:hAnsi="Times New Roman" w:cs="Times New Roman"/>
          <w:szCs w:val="22"/>
          <w:highlight w:val="none"/>
        </w:rPr>
        <w:t>⑤</w:t>
      </w:r>
      <w:r>
        <w:rPr>
          <w:rFonts w:ascii="Times New Roman" w:hAnsi="Times New Roman" w:cs="Times New Roman"/>
          <w:szCs w:val="22"/>
          <w:highlight w:val="none"/>
        </w:rPr>
        <w:t>在近三年内（自</w:t>
      </w:r>
      <w:r>
        <w:rPr>
          <w:rFonts w:hint="eastAsia" w:ascii="Times New Roman" w:hAnsi="Times New Roman" w:cs="Times New Roman"/>
          <w:szCs w:val="22"/>
          <w:highlight w:val="none"/>
        </w:rPr>
        <w:t>响应文件递交截止之日</w:t>
      </w:r>
      <w:r>
        <w:rPr>
          <w:rFonts w:ascii="Times New Roman" w:hAnsi="Times New Roman" w:cs="Times New Roman"/>
          <w:szCs w:val="22"/>
          <w:highlight w:val="none"/>
        </w:rPr>
        <w:t>向前追溯3年）供应商或其法定代表人、拟委任的项目经理</w:t>
      </w:r>
      <w:r>
        <w:rPr>
          <w:rFonts w:hint="eastAsia" w:ascii="Times New Roman" w:hAnsi="Times New Roman" w:cs="Times New Roman"/>
          <w:szCs w:val="22"/>
          <w:highlight w:val="none"/>
          <w:lang w:eastAsia="zh-CN"/>
        </w:rPr>
        <w:t>（</w:t>
      </w:r>
      <w:r>
        <w:rPr>
          <w:rFonts w:hint="eastAsia" w:ascii="Times New Roman" w:hAnsi="Times New Roman" w:cs="Times New Roman"/>
          <w:szCs w:val="22"/>
          <w:highlight w:val="none"/>
          <w:lang w:val="en-US" w:eastAsia="zh-CN"/>
        </w:rPr>
        <w:t>如有</w:t>
      </w:r>
      <w:r>
        <w:rPr>
          <w:rFonts w:hint="eastAsia" w:ascii="Times New Roman" w:hAnsi="Times New Roman" w:cs="Times New Roman"/>
          <w:szCs w:val="22"/>
          <w:highlight w:val="none"/>
          <w:lang w:eastAsia="zh-CN"/>
        </w:rPr>
        <w:t>）</w:t>
      </w:r>
      <w:r>
        <w:rPr>
          <w:rFonts w:hint="eastAsia" w:ascii="Times New Roman" w:hAnsi="Times New Roman" w:cs="Times New Roman"/>
          <w:szCs w:val="22"/>
          <w:highlight w:val="none"/>
        </w:rPr>
        <w:t>未</w:t>
      </w:r>
      <w:r>
        <w:rPr>
          <w:rFonts w:ascii="Times New Roman" w:hAnsi="Times New Roman" w:cs="Times New Roman"/>
          <w:szCs w:val="22"/>
          <w:highlight w:val="none"/>
        </w:rPr>
        <w:t>有行贿犯罪行为。</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ascii="Times New Roman" w:hAnsi="Times New Roman"/>
          <w:highlight w:val="none"/>
        </w:rPr>
      </w:pPr>
      <w:r>
        <w:rPr>
          <w:rFonts w:hint="eastAsia" w:ascii="Times New Roman" w:hAnsi="Times New Roman"/>
          <w:highlight w:val="none"/>
        </w:rPr>
        <w:t>⑥其他要求：</w:t>
      </w:r>
      <w:r>
        <w:rPr>
          <w:rFonts w:hint="eastAsia" w:ascii="Times New Roman" w:hAnsi="Times New Roman"/>
          <w:highlight w:val="none"/>
          <w:u w:val="single"/>
          <w:lang w:val="en-US" w:eastAsia="zh-CN"/>
        </w:rPr>
        <w:t xml:space="preserve">        /        </w:t>
      </w:r>
      <w:r>
        <w:rPr>
          <w:rFonts w:hint="eastAsia" w:ascii="Times New Roman" w:hAnsi="Times New Roman"/>
          <w:highlight w:val="none"/>
        </w:rPr>
        <w:t>。</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ascii="Times New Roman" w:hAnsi="Times New Roman" w:cs="Times New Roman"/>
          <w:sz w:val="18"/>
          <w:szCs w:val="21"/>
          <w:highlight w:val="none"/>
        </w:rPr>
      </w:pPr>
      <w:r>
        <w:rPr>
          <w:rFonts w:ascii="Times New Roman" w:hAnsi="Times New Roman" w:cs="Times New Roman"/>
          <w:szCs w:val="22"/>
          <w:highlight w:val="none"/>
        </w:rPr>
        <w:t>3.2 联合体：本次采购</w:t>
      </w:r>
      <w:r>
        <w:rPr>
          <w:rFonts w:hint="eastAsia" w:ascii="Times New Roman" w:hAnsi="Times New Roman" w:cs="Times New Roman"/>
          <w:szCs w:val="22"/>
          <w:highlight w:val="none"/>
        </w:rPr>
        <w:t>不接受</w:t>
      </w:r>
      <w:r>
        <w:rPr>
          <w:rFonts w:ascii="Times New Roman" w:hAnsi="Times New Roman" w:cs="Times New Roman"/>
          <w:szCs w:val="22"/>
          <w:highlight w:val="none"/>
        </w:rPr>
        <w:t>联合体报价。</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ascii="Times New Roman" w:hAnsi="Times New Roman" w:cs="Times New Roman"/>
          <w:sz w:val="18"/>
          <w:szCs w:val="21"/>
          <w:highlight w:val="none"/>
        </w:rPr>
      </w:pPr>
      <w:r>
        <w:rPr>
          <w:rFonts w:ascii="Times New Roman" w:hAnsi="Times New Roman" w:cs="Times New Roman"/>
          <w:szCs w:val="22"/>
          <w:highlight w:val="none"/>
        </w:rPr>
        <w:t>3.3 单位负责人为同一人或者存在控股、管理关系的不同单位，不得同时参加同一合同包报价，否则相关响应文件均无效。</w:t>
      </w:r>
    </w:p>
    <w:p>
      <w:pPr>
        <w:pStyle w:val="4"/>
        <w:snapToGrid w:val="0"/>
        <w:spacing w:before="120" w:after="120" w:line="240" w:lineRule="auto"/>
        <w:ind w:firstLine="403"/>
        <w:rPr>
          <w:rFonts w:ascii="Times New Roman" w:hAnsi="Times New Roman" w:eastAsia="黑体" w:cs="Times New Roman"/>
          <w:b w:val="0"/>
          <w:sz w:val="22"/>
          <w:szCs w:val="15"/>
          <w:highlight w:val="none"/>
        </w:rPr>
      </w:pPr>
      <w:bookmarkStart w:id="26" w:name="_Toc4751"/>
      <w:bookmarkStart w:id="27" w:name="_Toc25666_WPSOffice_Level2"/>
      <w:bookmarkStart w:id="28" w:name="_Toc525632588"/>
      <w:bookmarkStart w:id="29" w:name="_Toc29452_WPSOffice_Level2"/>
      <w:bookmarkStart w:id="30" w:name="_Toc4109_WPSOffice_Level2"/>
      <w:bookmarkStart w:id="31" w:name="_Toc2996_WPSOffice_Level2"/>
      <w:bookmarkStart w:id="32" w:name="_Toc1994"/>
      <w:r>
        <w:rPr>
          <w:rFonts w:hint="eastAsia" w:ascii="Times New Roman" w:hAnsi="Times New Roman" w:eastAsia="黑体" w:cs="Times New Roman"/>
          <w:b w:val="0"/>
          <w:sz w:val="22"/>
          <w:szCs w:val="15"/>
          <w:highlight w:val="none"/>
        </w:rPr>
        <w:t>询比文件</w:t>
      </w:r>
      <w:r>
        <w:rPr>
          <w:rFonts w:ascii="Times New Roman" w:hAnsi="Times New Roman" w:eastAsia="黑体" w:cs="Times New Roman"/>
          <w:b w:val="0"/>
          <w:sz w:val="22"/>
          <w:szCs w:val="15"/>
          <w:highlight w:val="none"/>
        </w:rPr>
        <w:t>的获取</w:t>
      </w:r>
      <w:bookmarkEnd w:id="26"/>
      <w:bookmarkEnd w:id="27"/>
      <w:bookmarkEnd w:id="28"/>
      <w:bookmarkEnd w:id="29"/>
      <w:bookmarkEnd w:id="30"/>
      <w:bookmarkEnd w:id="31"/>
      <w:bookmarkEnd w:id="32"/>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default" w:ascii="宋体" w:hAnsi="宋体" w:eastAsia="宋体" w:cs="宋体"/>
          <w:szCs w:val="22"/>
          <w:highlight w:val="none"/>
          <w:lang w:val="en-US" w:eastAsia="zh-CN"/>
        </w:rPr>
      </w:pPr>
      <w:r>
        <w:rPr>
          <w:rFonts w:hint="eastAsia" w:ascii="宋体" w:hAnsi="宋体" w:eastAsia="宋体" w:cs="宋体"/>
          <w:szCs w:val="22"/>
          <w:highlight w:val="none"/>
        </w:rPr>
        <w:t>供应商应在递交响应文件的截止时间前登录</w:t>
      </w:r>
      <w:r>
        <w:rPr>
          <w:rFonts w:hint="eastAsia" w:ascii="宋体" w:hAnsi="宋体" w:eastAsia="宋体" w:cs="宋体"/>
          <w:szCs w:val="22"/>
          <w:highlight w:val="none"/>
          <w:lang w:eastAsia="zh-CN"/>
        </w:rPr>
        <w:t>“安徽交控建设工程集团有限公司”</w:t>
      </w:r>
      <w:r>
        <w:rPr>
          <w:rFonts w:hint="eastAsia" w:ascii="宋体" w:hAnsi="宋体" w:eastAsia="宋体" w:cs="宋体"/>
          <w:szCs w:val="22"/>
          <w:highlight w:val="none"/>
        </w:rPr>
        <w:t>网站（https://www.ahjggroup.com/）</w:t>
      </w:r>
      <w:r>
        <w:rPr>
          <w:rFonts w:hint="eastAsia" w:ascii="宋体" w:hAnsi="宋体" w:eastAsia="宋体" w:cs="宋体"/>
          <w:szCs w:val="22"/>
          <w:highlight w:val="none"/>
          <w:lang w:eastAsia="zh-CN"/>
        </w:rPr>
        <w:t>“</w:t>
      </w:r>
      <w:r>
        <w:rPr>
          <w:rFonts w:hint="eastAsia" w:ascii="宋体" w:hAnsi="宋体" w:eastAsia="宋体" w:cs="宋体"/>
          <w:szCs w:val="22"/>
          <w:highlight w:val="none"/>
          <w:lang w:val="en-US" w:eastAsia="zh-CN"/>
        </w:rPr>
        <w:t>招标公告</w:t>
      </w:r>
      <w:r>
        <w:rPr>
          <w:rFonts w:hint="eastAsia" w:ascii="宋体" w:hAnsi="宋体" w:eastAsia="宋体" w:cs="宋体"/>
          <w:szCs w:val="22"/>
          <w:highlight w:val="none"/>
          <w:lang w:eastAsia="zh-CN"/>
        </w:rPr>
        <w:t>”</w:t>
      </w:r>
      <w:r>
        <w:rPr>
          <w:rFonts w:hint="eastAsia" w:ascii="宋体" w:hAnsi="宋体" w:eastAsia="宋体" w:cs="宋体"/>
          <w:szCs w:val="22"/>
          <w:highlight w:val="none"/>
        </w:rPr>
        <w:t>栏，选择所参加的</w:t>
      </w:r>
      <w:r>
        <w:rPr>
          <w:rFonts w:hint="eastAsia" w:ascii="宋体" w:hAnsi="宋体" w:eastAsia="宋体" w:cs="宋体"/>
          <w:szCs w:val="22"/>
          <w:highlight w:val="none"/>
          <w:lang w:val="en-US" w:eastAsia="zh-CN"/>
        </w:rPr>
        <w:t>合同包</w:t>
      </w:r>
      <w:r>
        <w:rPr>
          <w:rFonts w:hint="eastAsia" w:ascii="宋体" w:hAnsi="宋体" w:eastAsia="宋体" w:cs="宋体"/>
          <w:szCs w:val="22"/>
          <w:highlight w:val="none"/>
        </w:rPr>
        <w:t>，自行下载询比文件及相关资料</w:t>
      </w:r>
      <w:r>
        <w:rPr>
          <w:rFonts w:hint="eastAsia" w:ascii="宋体" w:hAnsi="宋体" w:eastAsia="宋体" w:cs="宋体"/>
          <w:szCs w:val="22"/>
          <w:highlight w:val="none"/>
          <w:lang w:eastAsia="zh-CN"/>
        </w:rPr>
        <w:t>（</w:t>
      </w:r>
      <w:r>
        <w:rPr>
          <w:rFonts w:hint="eastAsia" w:ascii="宋体" w:hAnsi="宋体" w:eastAsia="宋体" w:cs="宋体"/>
          <w:szCs w:val="22"/>
          <w:highlight w:val="none"/>
          <w:lang w:val="en-US" w:eastAsia="zh-CN"/>
        </w:rPr>
        <w:t>含澄清、补遗及相关补充文件</w:t>
      </w:r>
      <w:r>
        <w:rPr>
          <w:rFonts w:hint="eastAsia" w:ascii="宋体" w:hAnsi="宋体" w:eastAsia="宋体" w:cs="宋体"/>
          <w:szCs w:val="22"/>
          <w:highlight w:val="none"/>
          <w:lang w:eastAsia="zh-CN"/>
        </w:rPr>
        <w:t>）</w:t>
      </w:r>
      <w:r>
        <w:rPr>
          <w:rFonts w:hint="eastAsia" w:ascii="宋体" w:hAnsi="宋体" w:eastAsia="宋体" w:cs="宋体"/>
          <w:szCs w:val="22"/>
          <w:highlight w:val="none"/>
        </w:rPr>
        <w:t>。未按规定在</w:t>
      </w:r>
      <w:r>
        <w:rPr>
          <w:rFonts w:hint="eastAsia" w:ascii="宋体" w:hAnsi="宋体" w:eastAsia="宋体" w:cs="宋体"/>
          <w:szCs w:val="22"/>
          <w:highlight w:val="none"/>
          <w:lang w:eastAsia="zh-CN"/>
        </w:rPr>
        <w:t>“安徽交控建设工程集团有限公司”</w:t>
      </w:r>
      <w:r>
        <w:rPr>
          <w:rFonts w:hint="eastAsia" w:ascii="宋体" w:hAnsi="宋体" w:eastAsia="宋体" w:cs="宋体"/>
          <w:szCs w:val="22"/>
          <w:highlight w:val="none"/>
        </w:rPr>
        <w:t>（https://www.ahjggroup.com/）</w:t>
      </w:r>
      <w:r>
        <w:rPr>
          <w:rFonts w:hint="eastAsia" w:ascii="宋体" w:hAnsi="宋体" w:eastAsia="宋体" w:cs="宋体"/>
          <w:szCs w:val="22"/>
          <w:highlight w:val="none"/>
          <w:lang w:eastAsia="zh-CN"/>
        </w:rPr>
        <w:t>“</w:t>
      </w:r>
      <w:r>
        <w:rPr>
          <w:rFonts w:hint="eastAsia" w:ascii="宋体" w:hAnsi="宋体" w:eastAsia="宋体" w:cs="宋体"/>
          <w:szCs w:val="22"/>
          <w:highlight w:val="none"/>
          <w:lang w:val="en-US" w:eastAsia="zh-CN"/>
        </w:rPr>
        <w:t>招标公告</w:t>
      </w:r>
      <w:r>
        <w:rPr>
          <w:rFonts w:hint="eastAsia" w:ascii="宋体" w:hAnsi="宋体" w:eastAsia="宋体" w:cs="宋体"/>
          <w:szCs w:val="22"/>
          <w:highlight w:val="none"/>
          <w:lang w:eastAsia="zh-CN"/>
        </w:rPr>
        <w:t>”</w:t>
      </w:r>
      <w:r>
        <w:rPr>
          <w:rFonts w:hint="eastAsia" w:ascii="宋体" w:hAnsi="宋体" w:eastAsia="宋体" w:cs="宋体"/>
          <w:szCs w:val="22"/>
          <w:highlight w:val="none"/>
        </w:rPr>
        <w:t>栏下载询比文件的，后续将不予接受其响应文件。</w:t>
      </w:r>
      <w:r>
        <w:rPr>
          <w:rFonts w:hint="eastAsia" w:ascii="宋体" w:hAnsi="宋体" w:eastAsia="宋体" w:cs="宋体"/>
          <w:szCs w:val="22"/>
          <w:highlight w:val="none"/>
          <w:lang w:val="en-US" w:eastAsia="zh-CN"/>
        </w:rPr>
        <w:t xml:space="preserve">  </w:t>
      </w:r>
    </w:p>
    <w:p>
      <w:pPr>
        <w:pStyle w:val="4"/>
        <w:snapToGrid w:val="0"/>
        <w:spacing w:before="120" w:after="120" w:line="240" w:lineRule="auto"/>
        <w:ind w:firstLine="403"/>
        <w:rPr>
          <w:rFonts w:hint="eastAsia" w:ascii="Times New Roman" w:hAnsi="Times New Roman" w:eastAsia="黑体" w:cs="Times New Roman"/>
          <w:b w:val="0"/>
          <w:sz w:val="22"/>
          <w:szCs w:val="15"/>
          <w:highlight w:val="none"/>
        </w:rPr>
      </w:pPr>
      <w:bookmarkStart w:id="33" w:name="_Toc726"/>
      <w:bookmarkStart w:id="34" w:name="_Toc525632589"/>
      <w:r>
        <w:rPr>
          <w:rFonts w:hint="eastAsia" w:ascii="Times New Roman" w:hAnsi="Times New Roman" w:eastAsia="黑体" w:cs="Times New Roman"/>
          <w:b w:val="0"/>
          <w:sz w:val="22"/>
          <w:szCs w:val="15"/>
          <w:highlight w:val="none"/>
        </w:rPr>
        <w:t>响应文件的递交</w:t>
      </w:r>
      <w:bookmarkEnd w:id="33"/>
      <w:bookmarkEnd w:id="34"/>
    </w:p>
    <w:p>
      <w:pPr>
        <w:pStyle w:val="17"/>
        <w:keepNext w:val="0"/>
        <w:keepLines w:val="0"/>
        <w:pageBreakBefore w:val="0"/>
        <w:kinsoku/>
        <w:wordWrap/>
        <w:overflowPunct/>
        <w:topLinePunct w:val="0"/>
        <w:autoSpaceDE/>
        <w:autoSpaceDN/>
        <w:bidi w:val="0"/>
        <w:adjustRightInd/>
        <w:spacing w:before="0" w:beforeAutospacing="0" w:after="0" w:afterAutospacing="0" w:line="440" w:lineRule="exact"/>
        <w:ind w:firstLine="420" w:firstLineChars="200"/>
        <w:jc w:val="both"/>
        <w:textAlignment w:val="auto"/>
        <w:rPr>
          <w:rFonts w:hint="eastAsia" w:ascii="Times New Roman" w:hAnsi="Times New Roman" w:cs="Times New Roman" w:eastAsiaTheme="minorEastAsia"/>
          <w:kern w:val="2"/>
          <w:sz w:val="21"/>
          <w:szCs w:val="22"/>
          <w:highlight w:val="none"/>
          <w:u w:val="none"/>
          <w:lang w:val="en-US" w:eastAsia="zh-CN"/>
        </w:rPr>
      </w:pPr>
      <w:bookmarkStart w:id="35" w:name="_Toc22719"/>
      <w:bookmarkStart w:id="36" w:name="_Toc525632591"/>
      <w:r>
        <w:rPr>
          <w:rFonts w:hint="eastAsia" w:asciiTheme="minorEastAsia" w:hAnsiTheme="minorEastAsia" w:eastAsiaTheme="minorEastAsia" w:cstheme="minorEastAsia"/>
          <w:sz w:val="21"/>
          <w:szCs w:val="21"/>
          <w:highlight w:val="none"/>
        </w:rPr>
        <w:t>响应文件递交的截止时间</w:t>
      </w:r>
      <w:r>
        <w:rPr>
          <w:rFonts w:hint="eastAsia" w:asciiTheme="minorEastAsia" w:hAnsiTheme="minorEastAsia" w:eastAsiaTheme="minorEastAsia" w:cstheme="minorEastAsia"/>
          <w:sz w:val="21"/>
          <w:szCs w:val="21"/>
          <w:highlight w:val="none"/>
          <w:lang w:val="en-US" w:eastAsia="zh-CN"/>
        </w:rPr>
        <w:t>为</w:t>
      </w:r>
      <w:r>
        <w:rPr>
          <w:rFonts w:hint="eastAsia" w:asciiTheme="minorEastAsia" w:hAnsiTheme="minorEastAsia" w:eastAsiaTheme="minorEastAsia" w:cstheme="minorEastAsia"/>
          <w:b/>
          <w:bCs/>
          <w:sz w:val="21"/>
          <w:szCs w:val="21"/>
          <w:highlight w:val="none"/>
          <w:u w:val="single"/>
          <w:lang w:val="en-US" w:eastAsia="zh-CN"/>
        </w:rPr>
        <w:t xml:space="preserve"> 2024 </w:t>
      </w:r>
      <w:r>
        <w:rPr>
          <w:rFonts w:hint="eastAsia" w:asciiTheme="minorEastAsia" w:hAnsiTheme="minorEastAsia" w:eastAsiaTheme="minorEastAsia" w:cstheme="minorEastAsia"/>
          <w:b/>
          <w:bCs/>
          <w:sz w:val="21"/>
          <w:szCs w:val="21"/>
          <w:highlight w:val="none"/>
          <w:lang w:val="en-US" w:eastAsia="zh-CN"/>
        </w:rPr>
        <w:t>年</w:t>
      </w:r>
      <w:r>
        <w:rPr>
          <w:rFonts w:hint="eastAsia" w:asciiTheme="minorEastAsia" w:hAnsiTheme="minorEastAsia" w:eastAsiaTheme="minorEastAsia" w:cstheme="minorEastAsia"/>
          <w:b/>
          <w:bCs/>
          <w:sz w:val="21"/>
          <w:szCs w:val="21"/>
          <w:highlight w:val="none"/>
          <w:u w:val="single"/>
          <w:lang w:val="en-US" w:eastAsia="zh-CN"/>
        </w:rPr>
        <w:t xml:space="preserve"> 3 </w:t>
      </w:r>
      <w:r>
        <w:rPr>
          <w:rFonts w:hint="eastAsia" w:asciiTheme="minorEastAsia" w:hAnsiTheme="minorEastAsia" w:eastAsiaTheme="minorEastAsia" w:cstheme="minorEastAsia"/>
          <w:b/>
          <w:bCs/>
          <w:sz w:val="21"/>
          <w:szCs w:val="21"/>
          <w:highlight w:val="none"/>
          <w:lang w:val="en-US" w:eastAsia="zh-CN"/>
        </w:rPr>
        <w:t>月</w:t>
      </w:r>
      <w:r>
        <w:rPr>
          <w:rFonts w:hint="eastAsia" w:asciiTheme="minorEastAsia" w:hAnsiTheme="minorEastAsia" w:eastAsiaTheme="minorEastAsia" w:cstheme="minorEastAsia"/>
          <w:b/>
          <w:bCs/>
          <w:sz w:val="21"/>
          <w:szCs w:val="21"/>
          <w:highlight w:val="none"/>
          <w:u w:val="single"/>
          <w:lang w:val="en-US" w:eastAsia="zh-CN"/>
        </w:rPr>
        <w:t xml:space="preserve"> 27 </w:t>
      </w:r>
      <w:r>
        <w:rPr>
          <w:rFonts w:hint="eastAsia" w:asciiTheme="minorEastAsia" w:hAnsiTheme="minorEastAsia" w:eastAsiaTheme="minorEastAsia" w:cstheme="minorEastAsia"/>
          <w:b/>
          <w:bCs/>
          <w:sz w:val="21"/>
          <w:szCs w:val="21"/>
          <w:highlight w:val="none"/>
          <w:lang w:val="en-US" w:eastAsia="zh-CN"/>
        </w:rPr>
        <w:t>日</w:t>
      </w:r>
      <w:r>
        <w:rPr>
          <w:rFonts w:hint="eastAsia" w:asciiTheme="minorEastAsia" w:hAnsiTheme="minorEastAsia" w:eastAsiaTheme="minorEastAsia" w:cstheme="minorEastAsia"/>
          <w:b/>
          <w:bCs/>
          <w:sz w:val="21"/>
          <w:szCs w:val="21"/>
          <w:highlight w:val="none"/>
          <w:u w:val="single"/>
          <w:lang w:val="en-US" w:eastAsia="zh-CN"/>
        </w:rPr>
        <w:t xml:space="preserve"> 14</w:t>
      </w:r>
      <w:r>
        <w:rPr>
          <w:rFonts w:hint="eastAsia" w:asciiTheme="minorEastAsia" w:hAnsiTheme="minorEastAsia" w:eastAsiaTheme="minorEastAsia" w:cstheme="minorEastAsia"/>
          <w:b/>
          <w:bCs/>
          <w:sz w:val="21"/>
          <w:szCs w:val="21"/>
          <w:highlight w:val="none"/>
          <w:lang w:val="en-US" w:eastAsia="zh-CN"/>
        </w:rPr>
        <w:t>时</w:t>
      </w:r>
      <w:r>
        <w:rPr>
          <w:rFonts w:hint="eastAsia" w:asciiTheme="minorEastAsia" w:hAnsiTheme="minorEastAsia" w:eastAsiaTheme="minorEastAsia" w:cstheme="minorEastAsia"/>
          <w:b/>
          <w:bCs/>
          <w:sz w:val="21"/>
          <w:szCs w:val="21"/>
          <w:highlight w:val="none"/>
          <w:u w:val="single"/>
          <w:lang w:val="en-US" w:eastAsia="zh-CN"/>
        </w:rPr>
        <w:t xml:space="preserve"> 30 </w:t>
      </w:r>
      <w:r>
        <w:rPr>
          <w:rFonts w:hint="eastAsia" w:asciiTheme="minorEastAsia" w:hAnsiTheme="minorEastAsia" w:eastAsiaTheme="minorEastAsia" w:cstheme="minorEastAsia"/>
          <w:b/>
          <w:bCs/>
          <w:sz w:val="21"/>
          <w:szCs w:val="21"/>
          <w:highlight w:val="none"/>
          <w:lang w:val="en-US" w:eastAsia="zh-CN"/>
        </w:rPr>
        <w:t>分</w:t>
      </w:r>
      <w:r>
        <w:rPr>
          <w:rFonts w:hint="eastAsia" w:asciiTheme="minorEastAsia" w:hAnsiTheme="minorEastAsia" w:eastAsiaTheme="minorEastAsia" w:cstheme="minorEastAsia"/>
          <w:sz w:val="21"/>
          <w:szCs w:val="21"/>
          <w:highlight w:val="none"/>
          <w:lang w:val="en-US" w:eastAsia="zh-CN"/>
        </w:rPr>
        <w:t>，</w:t>
      </w:r>
      <w:r>
        <w:rPr>
          <w:rFonts w:hint="eastAsia" w:asciiTheme="minorEastAsia" w:hAnsiTheme="minorEastAsia" w:eastAsiaTheme="minorEastAsia" w:cstheme="minorEastAsia"/>
          <w:sz w:val="21"/>
          <w:szCs w:val="21"/>
          <w:highlight w:val="none"/>
        </w:rPr>
        <w:t>供应商的法定代表人或其授权代理人应在文件递交截止时间前</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lang w:val="en-US" w:eastAsia="zh-CN"/>
        </w:rPr>
        <w:t>将响应文件递交</w:t>
      </w:r>
      <w:r>
        <w:rPr>
          <w:rFonts w:hint="eastAsia" w:asciiTheme="minorEastAsia" w:hAnsiTheme="minorEastAsia" w:eastAsiaTheme="minorEastAsia" w:cstheme="minorEastAsia"/>
          <w:sz w:val="21"/>
          <w:szCs w:val="21"/>
          <w:highlight w:val="none"/>
          <w:u w:val="none"/>
          <w:lang w:val="en-US" w:eastAsia="zh-CN"/>
        </w:rPr>
        <w:t>至</w:t>
      </w:r>
      <w:r>
        <w:rPr>
          <w:rFonts w:hint="eastAsia" w:asciiTheme="minorEastAsia" w:hAnsiTheme="minorEastAsia" w:eastAsiaTheme="minorEastAsia" w:cstheme="minorEastAsia"/>
          <w:kern w:val="2"/>
          <w:sz w:val="21"/>
          <w:szCs w:val="21"/>
          <w:highlight w:val="none"/>
          <w:u w:val="none"/>
        </w:rPr>
        <w:t>安徽省合肥市包河区西藏路1</w:t>
      </w:r>
      <w:r>
        <w:rPr>
          <w:rFonts w:hint="eastAsia" w:asciiTheme="minorEastAsia" w:hAnsiTheme="minorEastAsia" w:eastAsiaTheme="minorEastAsia" w:cstheme="minorEastAsia"/>
          <w:kern w:val="2"/>
          <w:sz w:val="21"/>
          <w:szCs w:val="21"/>
          <w:highlight w:val="none"/>
          <w:u w:val="none"/>
          <w:lang w:val="en-US" w:eastAsia="zh-CN"/>
        </w:rPr>
        <w:t>588</w:t>
      </w:r>
      <w:r>
        <w:rPr>
          <w:rFonts w:hint="eastAsia" w:asciiTheme="minorEastAsia" w:hAnsiTheme="minorEastAsia" w:eastAsiaTheme="minorEastAsia" w:cstheme="minorEastAsia"/>
          <w:kern w:val="2"/>
          <w:sz w:val="21"/>
          <w:szCs w:val="21"/>
          <w:highlight w:val="none"/>
          <w:u w:val="none"/>
        </w:rPr>
        <w:t>号高速时代广场C1栋</w:t>
      </w:r>
      <w:r>
        <w:rPr>
          <w:rFonts w:hint="eastAsia" w:asciiTheme="minorEastAsia" w:hAnsiTheme="minorEastAsia" w:eastAsiaTheme="minorEastAsia" w:cstheme="minorEastAsia"/>
          <w:kern w:val="2"/>
          <w:sz w:val="21"/>
          <w:szCs w:val="21"/>
          <w:highlight w:val="none"/>
          <w:u w:val="none"/>
          <w:lang w:val="en-US" w:eastAsia="zh-CN"/>
        </w:rPr>
        <w:t>1008安徽省经工物资有限公司</w:t>
      </w:r>
      <w:r>
        <w:rPr>
          <w:rFonts w:hint="eastAsia" w:asciiTheme="minorEastAsia" w:hAnsiTheme="minorEastAsia" w:eastAsiaTheme="minorEastAsia" w:cstheme="minorEastAsia"/>
          <w:kern w:val="2"/>
          <w:sz w:val="21"/>
          <w:szCs w:val="21"/>
          <w:highlight w:val="none"/>
          <w:lang w:eastAsia="zh-CN"/>
        </w:rPr>
        <w:t>。</w:t>
      </w:r>
    </w:p>
    <w:p>
      <w:pPr>
        <w:pStyle w:val="4"/>
        <w:snapToGrid w:val="0"/>
        <w:spacing w:before="120" w:after="120" w:line="240" w:lineRule="auto"/>
        <w:ind w:firstLine="403"/>
        <w:rPr>
          <w:rFonts w:hint="eastAsia" w:ascii="Times New Roman" w:hAnsi="Times New Roman" w:eastAsia="黑体" w:cs="Times New Roman"/>
          <w:b w:val="0"/>
          <w:sz w:val="22"/>
          <w:szCs w:val="15"/>
          <w:highlight w:val="none"/>
        </w:rPr>
      </w:pPr>
      <w:r>
        <w:rPr>
          <w:rFonts w:hint="eastAsia" w:ascii="Times New Roman" w:hAnsi="Times New Roman" w:eastAsia="黑体" w:cs="Times New Roman"/>
          <w:b w:val="0"/>
          <w:sz w:val="22"/>
          <w:szCs w:val="15"/>
          <w:highlight w:val="none"/>
        </w:rPr>
        <w:t>响应文件启封</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cs="Times New Roman"/>
          <w:b/>
          <w:bCs/>
          <w:szCs w:val="22"/>
          <w:highlight w:val="none"/>
          <w:lang w:val="en-US" w:eastAsia="zh-CN"/>
        </w:rPr>
      </w:pPr>
      <w:r>
        <w:rPr>
          <w:rFonts w:ascii="Times New Roman" w:hAnsi="Times New Roman" w:cs="Times New Roman"/>
          <w:szCs w:val="22"/>
          <w:highlight w:val="none"/>
        </w:rPr>
        <w:t>响应文件的递交截止时间到后，采购人将于</w:t>
      </w:r>
      <w:r>
        <w:rPr>
          <w:rFonts w:hint="eastAsia" w:ascii="Times New Roman" w:hAnsi="Times New Roman" w:cs="Times New Roman"/>
          <w:szCs w:val="22"/>
          <w:highlight w:val="none"/>
          <w:u w:val="single"/>
        </w:rPr>
        <w:t>安徽省合肥市包河区西藏路1</w:t>
      </w:r>
      <w:r>
        <w:rPr>
          <w:rFonts w:hint="eastAsia" w:ascii="Times New Roman" w:hAnsi="Times New Roman" w:cs="Times New Roman"/>
          <w:szCs w:val="22"/>
          <w:highlight w:val="none"/>
          <w:u w:val="single"/>
          <w:lang w:val="en-US" w:eastAsia="zh-CN"/>
        </w:rPr>
        <w:t>588</w:t>
      </w:r>
      <w:r>
        <w:rPr>
          <w:rFonts w:hint="eastAsia" w:ascii="Times New Roman" w:hAnsi="Times New Roman" w:cs="Times New Roman"/>
          <w:szCs w:val="22"/>
          <w:highlight w:val="none"/>
          <w:u w:val="single"/>
        </w:rPr>
        <w:t>号高速时代广场C1栋</w:t>
      </w:r>
      <w:r>
        <w:rPr>
          <w:rFonts w:hint="eastAsia" w:ascii="Times New Roman" w:hAnsi="Times New Roman" w:cs="Times New Roman"/>
          <w:szCs w:val="22"/>
          <w:highlight w:val="none"/>
          <w:u w:val="single"/>
          <w:lang w:val="en-US" w:eastAsia="zh-CN"/>
        </w:rPr>
        <w:t>1008安徽省经工物资有限公司</w:t>
      </w:r>
      <w:r>
        <w:rPr>
          <w:rFonts w:ascii="Times New Roman" w:hAnsi="Times New Roman" w:cs="Times New Roman"/>
          <w:szCs w:val="22"/>
          <w:highlight w:val="none"/>
        </w:rPr>
        <w:t>（地点）</w:t>
      </w:r>
      <w:r>
        <w:rPr>
          <w:rFonts w:hint="eastAsia" w:ascii="Times New Roman" w:hAnsi="Times New Roman" w:cs="Times New Roman"/>
          <w:szCs w:val="22"/>
          <w:highlight w:val="none"/>
        </w:rPr>
        <w:t>现场</w:t>
      </w:r>
      <w:r>
        <w:rPr>
          <w:rFonts w:ascii="Times New Roman" w:hAnsi="Times New Roman" w:cs="Times New Roman"/>
          <w:szCs w:val="22"/>
          <w:highlight w:val="none"/>
        </w:rPr>
        <w:t>组织进行响应文件的启</w:t>
      </w:r>
      <w:r>
        <w:rPr>
          <w:rFonts w:hint="eastAsia" w:ascii="Times New Roman" w:hAnsi="Times New Roman" w:cs="Times New Roman"/>
          <w:szCs w:val="22"/>
          <w:highlight w:val="none"/>
        </w:rPr>
        <w:t>封。</w:t>
      </w:r>
    </w:p>
    <w:p>
      <w:pPr>
        <w:pStyle w:val="4"/>
        <w:snapToGrid w:val="0"/>
        <w:spacing w:before="120" w:after="120" w:line="240" w:lineRule="auto"/>
        <w:ind w:firstLine="403"/>
        <w:rPr>
          <w:rFonts w:hint="eastAsia" w:ascii="Times New Roman" w:hAnsi="Times New Roman" w:eastAsia="黑体" w:cs="Times New Roman"/>
          <w:b w:val="0"/>
          <w:sz w:val="22"/>
          <w:szCs w:val="15"/>
          <w:highlight w:val="none"/>
        </w:rPr>
      </w:pPr>
      <w:r>
        <w:rPr>
          <w:rFonts w:hint="eastAsia" w:ascii="Times New Roman" w:hAnsi="Times New Roman" w:eastAsia="黑体" w:cs="Times New Roman"/>
          <w:b w:val="0"/>
          <w:sz w:val="22"/>
          <w:szCs w:val="15"/>
          <w:highlight w:val="none"/>
        </w:rPr>
        <w:t>响应保证金</w:t>
      </w:r>
    </w:p>
    <w:p>
      <w:pPr>
        <w:keepNext w:val="0"/>
        <w:keepLines w:val="0"/>
        <w:pageBreakBefore w:val="0"/>
        <w:kinsoku/>
        <w:wordWrap/>
        <w:overflowPunct/>
        <w:topLinePunct w:val="0"/>
        <w:autoSpaceDE/>
        <w:autoSpaceDN/>
        <w:bidi w:val="0"/>
        <w:adjustRightInd/>
        <w:snapToGrid w:val="0"/>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响应保证金的金额：</w:t>
      </w:r>
    </w:p>
    <w:p>
      <w:pPr>
        <w:pStyle w:val="17"/>
        <w:keepNext w:val="0"/>
        <w:keepLines w:val="0"/>
        <w:pageBreakBefore w:val="0"/>
        <w:kinsoku/>
        <w:wordWrap/>
        <w:overflowPunct/>
        <w:topLinePunct w:val="0"/>
        <w:autoSpaceDE/>
        <w:autoSpaceDN/>
        <w:bidi w:val="0"/>
        <w:adjustRightInd/>
        <w:spacing w:before="0" w:beforeAutospacing="0" w:after="0" w:afterAutospacing="0" w:line="440" w:lineRule="exact"/>
        <w:ind w:firstLine="420"/>
        <w:jc w:val="both"/>
        <w:textAlignment w:val="auto"/>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本项目响应保证金：</w:t>
      </w:r>
      <w:r>
        <w:rPr>
          <w:rFonts w:hint="eastAsia" w:ascii="宋体" w:hAnsi="宋体" w:eastAsia="宋体" w:cs="宋体"/>
          <w:b/>
          <w:bCs/>
          <w:kern w:val="2"/>
          <w:sz w:val="21"/>
          <w:szCs w:val="21"/>
          <w:highlight w:val="none"/>
          <w:u w:val="single"/>
          <w:lang w:val="en-US" w:eastAsia="zh-CN"/>
        </w:rPr>
        <w:t xml:space="preserve"> </w:t>
      </w:r>
      <w:r>
        <w:rPr>
          <w:rFonts w:hint="eastAsia" w:cs="宋体"/>
          <w:b/>
          <w:bCs/>
          <w:kern w:val="2"/>
          <w:sz w:val="21"/>
          <w:szCs w:val="21"/>
          <w:highlight w:val="none"/>
          <w:u w:val="single"/>
          <w:lang w:val="en-US" w:eastAsia="zh-CN"/>
        </w:rPr>
        <w:t>10000</w:t>
      </w:r>
      <w:r>
        <w:rPr>
          <w:rFonts w:hint="eastAsia" w:ascii="宋体" w:hAnsi="宋体" w:eastAsia="宋体" w:cs="宋体"/>
          <w:b/>
          <w:bCs/>
          <w:kern w:val="2"/>
          <w:sz w:val="21"/>
          <w:szCs w:val="21"/>
          <w:highlight w:val="none"/>
          <w:u w:val="single"/>
          <w:lang w:val="en-US" w:eastAsia="zh-CN"/>
        </w:rPr>
        <w:t xml:space="preserve">  </w:t>
      </w:r>
      <w:r>
        <w:rPr>
          <w:rFonts w:hint="eastAsia" w:ascii="宋体" w:hAnsi="宋体" w:eastAsia="宋体" w:cs="宋体"/>
          <w:b/>
          <w:bCs/>
          <w:kern w:val="2"/>
          <w:sz w:val="21"/>
          <w:szCs w:val="21"/>
          <w:highlight w:val="none"/>
        </w:rPr>
        <w:t>元（大写：</w:t>
      </w:r>
      <w:r>
        <w:rPr>
          <w:rFonts w:hint="eastAsia" w:cs="宋体"/>
          <w:b/>
          <w:bCs/>
          <w:kern w:val="2"/>
          <w:sz w:val="21"/>
          <w:szCs w:val="21"/>
          <w:highlight w:val="none"/>
          <w:u w:val="single"/>
          <w:lang w:val="en-US" w:eastAsia="zh-CN"/>
        </w:rPr>
        <w:t xml:space="preserve"> 壹万元整</w:t>
      </w:r>
      <w:r>
        <w:rPr>
          <w:rFonts w:hint="eastAsia" w:ascii="宋体" w:hAnsi="宋体" w:eastAsia="宋体" w:cs="宋体"/>
          <w:b/>
          <w:bCs/>
          <w:kern w:val="2"/>
          <w:sz w:val="21"/>
          <w:szCs w:val="21"/>
          <w:highlight w:val="none"/>
          <w:u w:val="single"/>
          <w:lang w:val="en-US" w:eastAsia="zh-CN"/>
        </w:rPr>
        <w:t xml:space="preserve">  </w:t>
      </w:r>
      <w:r>
        <w:rPr>
          <w:rFonts w:hint="eastAsia" w:ascii="宋体" w:hAnsi="宋体" w:eastAsia="宋体" w:cs="宋体"/>
          <w:b/>
          <w:bCs/>
          <w:kern w:val="2"/>
          <w:sz w:val="21"/>
          <w:szCs w:val="21"/>
          <w:highlight w:val="none"/>
          <w:lang w:val="en-US" w:eastAsia="zh-CN"/>
        </w:rPr>
        <w:t xml:space="preserve"> </w:t>
      </w:r>
      <w:r>
        <w:rPr>
          <w:rFonts w:hint="eastAsia" w:ascii="宋体" w:hAnsi="宋体" w:eastAsia="宋体" w:cs="宋体"/>
          <w:b/>
          <w:bCs/>
          <w:kern w:val="2"/>
          <w:sz w:val="21"/>
          <w:szCs w:val="21"/>
          <w:highlight w:val="none"/>
        </w:rPr>
        <w:t>）。</w:t>
      </w:r>
    </w:p>
    <w:p>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响应保证金的递交形式：银行转账</w:t>
      </w:r>
    </w:p>
    <w:p>
      <w:pPr>
        <w:spacing w:line="440" w:lineRule="exact"/>
        <w:ind w:firstLine="42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递交截止时间：2024年3月27日14时30分。</w:t>
      </w:r>
    </w:p>
    <w:p>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若采用电汇（转账）形式，响应保证金必须由供应商的基本账户一次性汇入所示账户，并在响应截止时间前到账，否则无效。</w:t>
      </w:r>
    </w:p>
    <w:p>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响应保证金的账户信息：</w:t>
      </w:r>
    </w:p>
    <w:p>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户    名： 安徽省经工物资有限公司</w:t>
      </w:r>
    </w:p>
    <w:p>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开户银行：工行合肥蜀山支行</w:t>
      </w:r>
    </w:p>
    <w:p>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账    号：1302012119200034038</w:t>
      </w:r>
    </w:p>
    <w:p>
      <w:pPr>
        <w:spacing w:line="440" w:lineRule="exact"/>
        <w:ind w:firstLine="420"/>
        <w:rPr>
          <w:rStyle w:val="23"/>
          <w:rFonts w:hint="eastAsia"/>
        </w:rPr>
      </w:pPr>
      <w:r>
        <w:rPr>
          <w:rFonts w:hint="eastAsia" w:ascii="Times New Roman" w:hAnsi="Times New Roman" w:cs="Times New Roman"/>
          <w:b/>
          <w:bCs/>
          <w:color w:val="auto"/>
          <w:highlight w:val="none"/>
          <w:lang w:val="en-US" w:eastAsia="zh-CN"/>
        </w:rPr>
        <w:t>付款备注：空气源项目响应保证金</w:t>
      </w:r>
    </w:p>
    <w:p>
      <w:pPr>
        <w:pStyle w:val="4"/>
        <w:snapToGrid w:val="0"/>
        <w:spacing w:before="120" w:after="120" w:line="240" w:lineRule="auto"/>
        <w:ind w:firstLine="403"/>
        <w:rPr>
          <w:rFonts w:hint="eastAsia" w:ascii="Times New Roman" w:hAnsi="Times New Roman" w:eastAsia="黑体" w:cs="Times New Roman"/>
          <w:b w:val="0"/>
          <w:sz w:val="22"/>
          <w:szCs w:val="15"/>
          <w:highlight w:val="none"/>
        </w:rPr>
      </w:pPr>
      <w:r>
        <w:rPr>
          <w:rFonts w:hint="eastAsia" w:ascii="Times New Roman" w:hAnsi="Times New Roman" w:eastAsia="黑体" w:cs="Times New Roman"/>
          <w:b w:val="0"/>
          <w:sz w:val="22"/>
          <w:szCs w:val="15"/>
          <w:highlight w:val="none"/>
        </w:rPr>
        <w:t>发布公告的媒介</w:t>
      </w:r>
      <w:bookmarkEnd w:id="35"/>
      <w:bookmarkEnd w:id="36"/>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本次采购公告在</w:t>
      </w:r>
      <w:r>
        <w:rPr>
          <w:rFonts w:hint="eastAsia" w:ascii="宋体" w:hAnsi="宋体" w:eastAsia="宋体" w:cs="宋体"/>
          <w:b/>
          <w:bCs/>
          <w:sz w:val="21"/>
          <w:szCs w:val="21"/>
          <w:highlight w:val="none"/>
          <w:u w:val="single"/>
        </w:rPr>
        <w:t>“</w:t>
      </w:r>
      <w:r>
        <w:rPr>
          <w:rFonts w:hint="eastAsia" w:ascii="宋体" w:hAnsi="宋体" w:eastAsia="宋体" w:cs="宋体"/>
          <w:b/>
          <w:bCs/>
          <w:sz w:val="21"/>
          <w:szCs w:val="21"/>
          <w:highlight w:val="none"/>
          <w:u w:val="single"/>
          <w:lang w:eastAsia="zh-CN"/>
        </w:rPr>
        <w:t>安徽交控建设工程集团有限公司</w:t>
      </w:r>
      <w:r>
        <w:rPr>
          <w:rFonts w:hint="eastAsia" w:ascii="宋体" w:hAnsi="宋体" w:eastAsia="宋体" w:cs="宋体"/>
          <w:b/>
          <w:bCs/>
          <w:sz w:val="21"/>
          <w:szCs w:val="21"/>
          <w:highlight w:val="none"/>
          <w:u w:val="single"/>
        </w:rPr>
        <w:t>网站（https://www.ahjggroup.com/）“</w:t>
      </w:r>
      <w:r>
        <w:rPr>
          <w:rFonts w:hint="eastAsia" w:ascii="宋体" w:hAnsi="宋体" w:eastAsia="宋体" w:cs="宋体"/>
          <w:b/>
          <w:bCs/>
          <w:sz w:val="21"/>
          <w:szCs w:val="21"/>
          <w:highlight w:val="none"/>
          <w:u w:val="single"/>
          <w:lang w:val="en-US" w:eastAsia="zh-CN"/>
        </w:rPr>
        <w:t>招标公告</w:t>
      </w:r>
      <w:r>
        <w:rPr>
          <w:rFonts w:hint="eastAsia" w:ascii="宋体" w:hAnsi="宋体" w:eastAsia="宋体" w:cs="宋体"/>
          <w:b/>
          <w:bCs/>
          <w:sz w:val="21"/>
          <w:szCs w:val="21"/>
          <w:highlight w:val="none"/>
          <w:u w:val="single"/>
        </w:rPr>
        <w:t>”</w:t>
      </w:r>
      <w:r>
        <w:rPr>
          <w:rFonts w:hint="eastAsia" w:ascii="宋体" w:hAnsi="宋体" w:eastAsia="宋体" w:cs="宋体"/>
          <w:b w:val="0"/>
          <w:bCs w:val="0"/>
          <w:sz w:val="21"/>
          <w:szCs w:val="21"/>
          <w:highlight w:val="none"/>
          <w:u w:val="none"/>
        </w:rPr>
        <w:t>栏</w:t>
      </w:r>
      <w:r>
        <w:rPr>
          <w:rFonts w:hint="eastAsia" w:ascii="宋体" w:hAnsi="宋体" w:eastAsia="宋体" w:cs="宋体"/>
          <w:sz w:val="21"/>
          <w:szCs w:val="21"/>
          <w:highlight w:val="none"/>
        </w:rPr>
        <w:t>上发布。</w:t>
      </w:r>
    </w:p>
    <w:p>
      <w:pPr>
        <w:pStyle w:val="4"/>
        <w:snapToGrid w:val="0"/>
        <w:spacing w:before="120" w:after="120" w:line="240" w:lineRule="auto"/>
        <w:ind w:firstLine="403"/>
        <w:rPr>
          <w:rFonts w:hint="eastAsia" w:ascii="宋体" w:hAnsi="宋体" w:eastAsia="宋体" w:cs="宋体"/>
          <w:b w:val="0"/>
          <w:sz w:val="21"/>
          <w:szCs w:val="21"/>
          <w:highlight w:val="none"/>
        </w:rPr>
      </w:pPr>
      <w:bookmarkStart w:id="37" w:name="_Toc28571_WPSOffice_Level2"/>
      <w:bookmarkStart w:id="38" w:name="_Toc321_WPSOffice_Level2"/>
      <w:bookmarkStart w:id="39" w:name="_Toc8501"/>
      <w:bookmarkStart w:id="40" w:name="_Toc525632592"/>
      <w:bookmarkStart w:id="41" w:name="_Toc26829"/>
      <w:bookmarkStart w:id="42" w:name="_Toc14943_WPSOffice_Level2"/>
      <w:bookmarkStart w:id="43" w:name="_Toc20572_WPSOffice_Level2"/>
      <w:r>
        <w:rPr>
          <w:rFonts w:hint="eastAsia" w:ascii="Times New Roman" w:hAnsi="Times New Roman" w:eastAsia="黑体" w:cs="Times New Roman"/>
          <w:b w:val="0"/>
          <w:sz w:val="22"/>
          <w:szCs w:val="15"/>
          <w:highlight w:val="none"/>
        </w:rPr>
        <w:t>采购人联系方式</w:t>
      </w:r>
      <w:bookmarkEnd w:id="37"/>
      <w:bookmarkEnd w:id="38"/>
      <w:bookmarkEnd w:id="39"/>
      <w:bookmarkEnd w:id="40"/>
      <w:bookmarkEnd w:id="41"/>
      <w:bookmarkEnd w:id="42"/>
      <w:bookmarkEnd w:id="43"/>
      <w:r>
        <w:rPr>
          <w:rFonts w:hint="eastAsia" w:ascii="Times New Roman" w:hAnsi="Times New Roman" w:eastAsia="黑体" w:cs="Times New Roman"/>
          <w:b w:val="0"/>
          <w:sz w:val="22"/>
          <w:szCs w:val="15"/>
          <w:highlight w:val="none"/>
          <w:lang w:val="en-US" w:eastAsia="zh-CN"/>
        </w:rPr>
        <w:t xml:space="preserve">     </w:t>
      </w:r>
      <w:r>
        <w:rPr>
          <w:rFonts w:hint="eastAsia" w:ascii="宋体" w:hAnsi="宋体" w:eastAsia="宋体" w:cs="宋体"/>
          <w:b w:val="0"/>
          <w:sz w:val="21"/>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kern w:val="2"/>
          <w:sz w:val="21"/>
          <w:szCs w:val="21"/>
          <w:highlight w:val="none"/>
          <w:lang w:eastAsia="zh-CN"/>
        </w:rPr>
      </w:pPr>
      <w:r>
        <w:rPr>
          <w:rFonts w:hint="eastAsia" w:ascii="宋体" w:hAnsi="宋体" w:eastAsia="宋体" w:cs="宋体"/>
          <w:sz w:val="21"/>
          <w:szCs w:val="21"/>
          <w:highlight w:val="none"/>
        </w:rPr>
        <w:t>采 购 人：</w:t>
      </w:r>
      <w:r>
        <w:rPr>
          <w:rFonts w:hint="eastAsia" w:ascii="宋体" w:hAnsi="宋体" w:eastAsia="宋体" w:cs="宋体"/>
          <w:kern w:val="2"/>
          <w:sz w:val="21"/>
          <w:szCs w:val="21"/>
          <w:highlight w:val="none"/>
          <w:lang w:val="en-US" w:eastAsia="zh-CN"/>
        </w:rPr>
        <w:t>安徽交控建设工程集团有限公司</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地    址：</w:t>
      </w:r>
      <w:r>
        <w:rPr>
          <w:rFonts w:hint="eastAsia" w:ascii="宋体" w:hAnsi="宋体" w:eastAsia="宋体" w:cs="宋体"/>
          <w:kern w:val="2"/>
          <w:sz w:val="21"/>
          <w:szCs w:val="21"/>
          <w:highlight w:val="none"/>
        </w:rPr>
        <w:t>安徽省合肥市包河区西藏路1</w:t>
      </w:r>
      <w:r>
        <w:rPr>
          <w:rFonts w:hint="eastAsia" w:ascii="宋体" w:hAnsi="宋体" w:eastAsia="宋体" w:cs="宋体"/>
          <w:kern w:val="2"/>
          <w:sz w:val="21"/>
          <w:szCs w:val="21"/>
          <w:highlight w:val="none"/>
          <w:lang w:val="en-US" w:eastAsia="zh-CN"/>
        </w:rPr>
        <w:t>588</w:t>
      </w:r>
      <w:r>
        <w:rPr>
          <w:rFonts w:hint="eastAsia" w:ascii="宋体" w:hAnsi="宋体" w:eastAsia="宋体" w:cs="宋体"/>
          <w:kern w:val="2"/>
          <w:sz w:val="21"/>
          <w:szCs w:val="21"/>
          <w:highlight w:val="none"/>
        </w:rPr>
        <w:t>号高速时代广场C1栋</w:t>
      </w:r>
      <w:r>
        <w:rPr>
          <w:rFonts w:hint="eastAsia" w:ascii="宋体" w:hAnsi="宋体" w:eastAsia="宋体" w:cs="宋体"/>
          <w:kern w:val="2"/>
          <w:sz w:val="21"/>
          <w:szCs w:val="21"/>
          <w:highlight w:val="none"/>
          <w:lang w:val="en-US" w:eastAsia="zh-CN"/>
        </w:rPr>
        <w:t>1008室</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邮政编码：</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联 系 人：</w:t>
      </w:r>
      <w:r>
        <w:rPr>
          <w:rFonts w:hint="eastAsia" w:ascii="宋体" w:hAnsi="宋体" w:eastAsia="宋体" w:cs="宋体"/>
          <w:sz w:val="21"/>
          <w:szCs w:val="21"/>
          <w:highlight w:val="none"/>
          <w:u w:val="single"/>
          <w:lang w:val="en-US" w:eastAsia="zh-CN"/>
        </w:rPr>
        <w:t xml:space="preserve">     高工、周工              </w:t>
      </w:r>
      <w:r>
        <w:rPr>
          <w:rFonts w:hint="eastAsia" w:ascii="宋体" w:hAnsi="宋体" w:eastAsia="宋体" w:cs="宋体"/>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u w:val="single"/>
          <w:lang w:val="en-US" w:eastAsia="zh-CN"/>
        </w:rPr>
      </w:pPr>
      <w:r>
        <w:rPr>
          <w:rFonts w:hint="eastAsia" w:ascii="宋体" w:hAnsi="宋体" w:eastAsia="宋体" w:cs="宋体"/>
          <w:sz w:val="21"/>
          <w:szCs w:val="21"/>
          <w:highlight w:val="none"/>
        </w:rPr>
        <w:t>电    话：</w:t>
      </w:r>
      <w:r>
        <w:rPr>
          <w:rFonts w:hint="eastAsia" w:ascii="宋体" w:hAnsi="宋体" w:eastAsia="宋体" w:cs="宋体"/>
          <w:sz w:val="21"/>
          <w:szCs w:val="21"/>
          <w:highlight w:val="none"/>
          <w:u w:val="single"/>
          <w:lang w:val="en-US" w:eastAsia="zh-CN"/>
        </w:rPr>
        <w:t xml:space="preserve">   13135521559、15855127123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电子邮箱：</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 </w:t>
      </w:r>
    </w:p>
    <w:p>
      <w:pPr>
        <w:pStyle w:val="7"/>
        <w:keepNext w:val="0"/>
        <w:keepLines w:val="0"/>
        <w:pageBreakBefore w:val="0"/>
        <w:widowControl w:val="0"/>
        <w:kinsoku/>
        <w:wordWrap/>
        <w:overflowPunct/>
        <w:topLinePunct w:val="0"/>
        <w:autoSpaceDE/>
        <w:autoSpaceDN/>
        <w:bidi w:val="0"/>
        <w:adjustRightInd/>
        <w:snapToGrid/>
        <w:spacing w:after="0" w:line="440" w:lineRule="exact"/>
        <w:ind w:firstLine="420" w:firstLineChars="200"/>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w:t>
      </w:r>
    </w:p>
    <w:p>
      <w:pPr>
        <w:pStyle w:val="28"/>
        <w:jc w:val="both"/>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rPr>
        <w:t xml:space="preserve">                                          </w:t>
      </w:r>
    </w:p>
    <w:p>
      <w:pPr>
        <w:pStyle w:val="28"/>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2024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 xml:space="preserve"> 3 </w:t>
      </w:r>
      <w:r>
        <w:rPr>
          <w:rFonts w:hint="eastAsia" w:ascii="宋体" w:hAnsi="宋体" w:eastAsia="宋体" w:cs="宋体"/>
          <w:color w:val="auto"/>
          <w:sz w:val="21"/>
          <w:szCs w:val="21"/>
          <w:highlight w:val="none"/>
        </w:rPr>
        <w:t>月</w:t>
      </w:r>
    </w:p>
    <w:p>
      <w:pPr>
        <w:rPr>
          <w:rFonts w:ascii="Times New Roman" w:hAnsi="Times New Roman" w:cs="Times New Roman"/>
          <w:sz w:val="24"/>
          <w:szCs w:val="28"/>
          <w:highlight w:val="none"/>
        </w:rPr>
      </w:pPr>
    </w:p>
    <w:p>
      <w:pPr>
        <w:rPr>
          <w:rFonts w:ascii="Times New Roman" w:hAnsi="Times New Roman" w:cs="Times New Roman"/>
          <w:sz w:val="24"/>
          <w:szCs w:val="28"/>
          <w:highlight w:val="none"/>
        </w:rPr>
      </w:pPr>
      <w:r>
        <w:rPr>
          <w:rFonts w:ascii="Times New Roman" w:hAnsi="Times New Roman" w:cs="Times New Roman"/>
          <w:sz w:val="24"/>
          <w:szCs w:val="28"/>
          <w:highlight w:val="none"/>
        </w:rPr>
        <w:br w:type="page"/>
      </w:r>
    </w:p>
    <w:p>
      <w:pPr>
        <w:pStyle w:val="3"/>
        <w:spacing w:before="312" w:after="312"/>
        <w:rPr>
          <w:rFonts w:ascii="Times New Roman" w:hAnsi="Times New Roman" w:eastAsia="宋体" w:cs="Times New Roman"/>
          <w:highlight w:val="none"/>
        </w:rPr>
      </w:pPr>
      <w:bookmarkStart w:id="44" w:name="_Toc1355"/>
      <w:r>
        <w:rPr>
          <w:rFonts w:ascii="Times New Roman" w:hAnsi="Times New Roman" w:eastAsia="宋体" w:cs="Times New Roman"/>
          <w:highlight w:val="none"/>
        </w:rPr>
        <w:t>供应商须知</w:t>
      </w:r>
      <w:bookmarkEnd w:id="44"/>
    </w:p>
    <w:p>
      <w:pPr>
        <w:spacing w:line="440" w:lineRule="exact"/>
        <w:jc w:val="center"/>
        <w:outlineLvl w:val="1"/>
        <w:rPr>
          <w:rFonts w:ascii="Times New Roman" w:hAnsi="Times New Roman" w:eastAsia="黑体" w:cs="Times New Roman"/>
          <w:sz w:val="28"/>
          <w:szCs w:val="28"/>
          <w:highlight w:val="none"/>
        </w:rPr>
      </w:pPr>
      <w:bookmarkStart w:id="45" w:name="_Toc19501"/>
      <w:bookmarkStart w:id="46" w:name="_Toc29381_WPSOffice_Level2"/>
      <w:bookmarkStart w:id="47" w:name="_Toc55466811"/>
      <w:bookmarkStart w:id="48" w:name="_Toc26656928"/>
      <w:bookmarkStart w:id="49" w:name="_Toc16069"/>
      <w:r>
        <w:rPr>
          <w:rFonts w:ascii="Times New Roman" w:hAnsi="Times New Roman" w:eastAsia="黑体" w:cs="Times New Roman"/>
          <w:sz w:val="28"/>
          <w:szCs w:val="28"/>
          <w:highlight w:val="none"/>
        </w:rPr>
        <w:t>供应商须知前附表</w:t>
      </w:r>
      <w:bookmarkEnd w:id="45"/>
      <w:bookmarkEnd w:id="46"/>
      <w:bookmarkEnd w:id="47"/>
      <w:bookmarkEnd w:id="48"/>
      <w:bookmarkEnd w:id="49"/>
    </w:p>
    <w:tbl>
      <w:tblPr>
        <w:tblStyle w:val="21"/>
        <w:tblW w:w="9181" w:type="dxa"/>
        <w:tblInd w:w="0" w:type="dxa"/>
        <w:tblLayout w:type="fixed"/>
        <w:tblCellMar>
          <w:top w:w="0" w:type="dxa"/>
          <w:left w:w="108" w:type="dxa"/>
          <w:bottom w:w="0" w:type="dxa"/>
          <w:right w:w="108" w:type="dxa"/>
        </w:tblCellMar>
      </w:tblPr>
      <w:tblGrid>
        <w:gridCol w:w="1000"/>
        <w:gridCol w:w="2572"/>
        <w:gridCol w:w="5609"/>
      </w:tblGrid>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80" w:lineRule="exact"/>
              <w:jc w:val="center"/>
              <w:rPr>
                <w:rFonts w:ascii="Times New Roman" w:hAnsi="Times New Roman" w:eastAsia="宋体" w:cs="Times New Roman"/>
                <w:b/>
                <w:szCs w:val="21"/>
                <w:highlight w:val="none"/>
              </w:rPr>
            </w:pPr>
            <w:r>
              <w:rPr>
                <w:rFonts w:ascii="Times New Roman" w:hAnsi="Times New Roman" w:eastAsia="宋体" w:cs="Times New Roman"/>
                <w:b/>
                <w:szCs w:val="21"/>
                <w:highlight w:val="none"/>
              </w:rPr>
              <w:t>条款号</w:t>
            </w:r>
          </w:p>
        </w:tc>
        <w:tc>
          <w:tcPr>
            <w:tcW w:w="2572"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80" w:lineRule="exact"/>
              <w:jc w:val="center"/>
              <w:rPr>
                <w:rFonts w:ascii="Times New Roman" w:hAnsi="Times New Roman" w:eastAsia="宋体" w:cs="Times New Roman"/>
                <w:b/>
                <w:szCs w:val="21"/>
                <w:highlight w:val="none"/>
              </w:rPr>
            </w:pPr>
            <w:r>
              <w:rPr>
                <w:rFonts w:ascii="Times New Roman" w:hAnsi="Times New Roman" w:eastAsia="宋体" w:cs="Times New Roman"/>
                <w:b/>
                <w:szCs w:val="21"/>
                <w:highlight w:val="none"/>
              </w:rPr>
              <w:t>条  款  名  称</w:t>
            </w:r>
          </w:p>
        </w:tc>
        <w:tc>
          <w:tcPr>
            <w:tcW w:w="5609"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480" w:lineRule="exact"/>
              <w:jc w:val="center"/>
              <w:rPr>
                <w:rFonts w:ascii="Times New Roman" w:hAnsi="Times New Roman" w:eastAsia="宋体" w:cs="Times New Roman"/>
                <w:b/>
                <w:szCs w:val="21"/>
                <w:highlight w:val="none"/>
              </w:rPr>
            </w:pPr>
            <w:r>
              <w:rPr>
                <w:rFonts w:ascii="Times New Roman" w:hAnsi="Times New Roman" w:eastAsia="宋体" w:cs="Times New Roman"/>
                <w:b/>
                <w:szCs w:val="21"/>
                <w:highlight w:val="none"/>
              </w:rPr>
              <w:t>编  列  内  容</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1.</w:t>
            </w:r>
            <w:r>
              <w:rPr>
                <w:rFonts w:hint="eastAsia" w:ascii="Times New Roman" w:hAnsi="Times New Roman" w:eastAsia="宋体" w:cs="Times New Roman"/>
                <w:szCs w:val="21"/>
                <w:highlight w:val="none"/>
              </w:rPr>
              <w:t>1</w:t>
            </w:r>
          </w:p>
        </w:tc>
        <w:tc>
          <w:tcPr>
            <w:tcW w:w="257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质量要求</w:t>
            </w:r>
          </w:p>
        </w:tc>
        <w:tc>
          <w:tcPr>
            <w:tcW w:w="5609"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left"/>
              <w:rPr>
                <w:rFonts w:ascii="Times New Roman" w:hAnsi="Times New Roman" w:eastAsia="宋体" w:cs="Times New Roman"/>
                <w:kern w:val="0"/>
                <w:szCs w:val="21"/>
                <w:highlight w:val="none"/>
              </w:rPr>
            </w:pPr>
            <w:r>
              <w:rPr>
                <w:rFonts w:hint="eastAsia" w:ascii="Times New Roman" w:hAnsi="Times New Roman" w:eastAsia="宋体" w:cs="Times New Roman"/>
                <w:color w:val="000000" w:themeColor="text1"/>
                <w:kern w:val="0"/>
                <w:szCs w:val="21"/>
                <w:highlight w:val="none"/>
                <w14:textFill>
                  <w14:solidFill>
                    <w14:schemeClr w14:val="tx1"/>
                  </w14:solidFill>
                </w14:textFill>
              </w:rPr>
              <w:t>满足国家最新颁布的质量技术标准和本项目的特殊要求。</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1.2.2</w:t>
            </w:r>
          </w:p>
        </w:tc>
        <w:tc>
          <w:tcPr>
            <w:tcW w:w="257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供应商其他资格要求</w:t>
            </w:r>
          </w:p>
        </w:tc>
        <w:tc>
          <w:tcPr>
            <w:tcW w:w="5609"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left"/>
              <w:rPr>
                <w:rFonts w:ascii="Times New Roman" w:hAnsi="Times New Roman" w:eastAsia="宋体" w:cs="Times New Roman"/>
                <w:kern w:val="0"/>
                <w:szCs w:val="21"/>
                <w:highlight w:val="none"/>
              </w:rPr>
            </w:pPr>
            <w:r>
              <w:rPr>
                <w:rFonts w:hint="eastAsia" w:ascii="Times New Roman" w:hAnsi="Times New Roman" w:eastAsia="宋体" w:cs="Times New Roman"/>
                <w:kern w:val="0"/>
                <w:szCs w:val="21"/>
                <w:highlight w:val="none"/>
              </w:rPr>
              <w:t>见第一章 采购公告/采购邀请书第3.1款要求。</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1.2.3</w:t>
            </w:r>
          </w:p>
        </w:tc>
        <w:tc>
          <w:tcPr>
            <w:tcW w:w="2572" w:type="dxa"/>
            <w:tcBorders>
              <w:top w:val="single" w:color="auto" w:sz="4" w:space="0"/>
              <w:left w:val="single" w:color="auto" w:sz="4" w:space="0"/>
              <w:bottom w:val="single" w:color="auto" w:sz="4" w:space="0"/>
              <w:right w:val="single" w:color="auto" w:sz="4" w:space="0"/>
            </w:tcBorders>
            <w:vAlign w:val="center"/>
          </w:tcPr>
          <w:p>
            <w:pPr>
              <w:ind w:left="105" w:leftChars="50"/>
              <w:jc w:val="center"/>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lang w:eastAsia="zh-CN"/>
              </w:rPr>
              <w:t>供应商</w:t>
            </w:r>
            <w:r>
              <w:rPr>
                <w:rFonts w:hint="eastAsia" w:ascii="Times New Roman" w:hAnsi="Times New Roman" w:eastAsia="宋体" w:cs="Times New Roman"/>
                <w:szCs w:val="21"/>
                <w:highlight w:val="none"/>
              </w:rPr>
              <w:t>资质条件、能力、信誉</w:t>
            </w:r>
          </w:p>
        </w:tc>
        <w:tc>
          <w:tcPr>
            <w:tcW w:w="5609"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left"/>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资质条件：见附录1</w:t>
            </w:r>
          </w:p>
          <w:p>
            <w:pPr>
              <w:widowControl/>
              <w:spacing w:line="480" w:lineRule="exact"/>
              <w:jc w:val="left"/>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业绩要求：见附录2</w:t>
            </w:r>
          </w:p>
          <w:p>
            <w:pPr>
              <w:widowControl/>
              <w:spacing w:line="480" w:lineRule="exact"/>
              <w:jc w:val="left"/>
              <w:rPr>
                <w:rFonts w:hint="eastAsia" w:ascii="Times New Roman" w:hAnsi="Times New Roman" w:eastAsia="宋体" w:cs="Times New Roman"/>
                <w:kern w:val="0"/>
                <w:szCs w:val="21"/>
                <w:highlight w:val="none"/>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信誉要求：见附录3</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1.2.4</w:t>
            </w:r>
          </w:p>
        </w:tc>
        <w:tc>
          <w:tcPr>
            <w:tcW w:w="257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是否接受联合体投标</w:t>
            </w:r>
          </w:p>
        </w:tc>
        <w:tc>
          <w:tcPr>
            <w:tcW w:w="5609" w:type="dxa"/>
            <w:tcBorders>
              <w:top w:val="single" w:color="auto" w:sz="4" w:space="0"/>
              <w:left w:val="single" w:color="auto" w:sz="4" w:space="0"/>
              <w:bottom w:val="single" w:color="auto" w:sz="4" w:space="0"/>
              <w:right w:val="single" w:color="auto" w:sz="4" w:space="0"/>
            </w:tcBorders>
            <w:vAlign w:val="center"/>
          </w:tcPr>
          <w:p>
            <w:pPr>
              <w:ind w:left="42" w:leftChars="20" w:right="42" w:rightChars="20"/>
              <w:rPr>
                <w:rFonts w:hint="eastAsia" w:ascii="Times New Roman" w:hAnsi="Times New Roman" w:eastAsia="宋体" w:cs="Times New Roman"/>
                <w:kern w:val="0"/>
                <w:szCs w:val="21"/>
                <w:highlight w:val="none"/>
              </w:rPr>
            </w:pPr>
            <w:r>
              <w:rPr>
                <w:rFonts w:hint="eastAsia" w:ascii="Times New Roman" w:hAnsi="Times New Roman" w:eastAsia="宋体" w:cs="Times New Roman"/>
                <w:szCs w:val="21"/>
                <w:highlight w:val="none"/>
              </w:rPr>
              <w:t>不接受</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3.1</w:t>
            </w:r>
          </w:p>
        </w:tc>
        <w:tc>
          <w:tcPr>
            <w:tcW w:w="257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响应文件其他材料要求</w:t>
            </w:r>
          </w:p>
        </w:tc>
        <w:tc>
          <w:tcPr>
            <w:tcW w:w="5609"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left"/>
              <w:rPr>
                <w:rFonts w:ascii="Times New Roman" w:hAnsi="Times New Roman" w:eastAsia="宋体" w:cs="Times New Roman"/>
                <w:kern w:val="0"/>
                <w:szCs w:val="21"/>
                <w:highlight w:val="none"/>
              </w:rPr>
            </w:pPr>
            <w:r>
              <w:rPr>
                <w:rFonts w:hint="eastAsia" w:ascii="Times New Roman" w:hAnsi="Times New Roman" w:eastAsia="宋体" w:cs="Times New Roman"/>
                <w:kern w:val="0"/>
                <w:szCs w:val="21"/>
                <w:highlight w:val="none"/>
              </w:rPr>
              <w:t>无</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3.2.</w:t>
            </w:r>
            <w:r>
              <w:rPr>
                <w:rFonts w:hint="eastAsia" w:ascii="Times New Roman" w:hAnsi="Times New Roman" w:eastAsia="宋体" w:cs="Times New Roman"/>
                <w:szCs w:val="21"/>
                <w:highlight w:val="none"/>
              </w:rPr>
              <w:t>4</w:t>
            </w:r>
          </w:p>
        </w:tc>
        <w:tc>
          <w:tcPr>
            <w:tcW w:w="257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报价方式</w:t>
            </w:r>
          </w:p>
        </w:tc>
        <w:tc>
          <w:tcPr>
            <w:tcW w:w="5609"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Times New Roman" w:hAnsi="Times New Roman" w:eastAsia="宋体" w:cs="Times New Roman"/>
                <w:szCs w:val="21"/>
                <w:highlight w:val="none"/>
              </w:rPr>
            </w:pPr>
            <w:r>
              <w:rPr>
                <w:rFonts w:hint="eastAsia"/>
                <w:highlight w:val="none"/>
                <w:lang w:eastAsia="zh-CN"/>
              </w:rPr>
              <w:t>☑</w:t>
            </w:r>
            <w:r>
              <w:rPr>
                <w:rFonts w:hint="eastAsia" w:ascii="Times New Roman" w:hAnsi="Times New Roman" w:eastAsia="宋体" w:cs="Times New Roman"/>
                <w:szCs w:val="21"/>
                <w:highlight w:val="none"/>
              </w:rPr>
              <w:t>固定</w:t>
            </w:r>
            <w:r>
              <w:rPr>
                <w:rFonts w:ascii="Times New Roman" w:hAnsi="Times New Roman" w:eastAsia="宋体" w:cs="Times New Roman"/>
                <w:szCs w:val="21"/>
                <w:highlight w:val="none"/>
              </w:rPr>
              <w:t>单价</w:t>
            </w:r>
          </w:p>
          <w:p>
            <w:pPr>
              <w:spacing w:line="480" w:lineRule="exact"/>
              <w:rPr>
                <w:rFonts w:ascii="Times New Roman" w:hAnsi="Times New Roman" w:eastAsia="宋体" w:cs="Times New Roman"/>
                <w:szCs w:val="21"/>
                <w:highlight w:val="none"/>
              </w:rPr>
            </w:pPr>
            <w:r>
              <w:rPr>
                <w:rFonts w:hint="eastAsia"/>
                <w:highlight w:val="none"/>
                <w:lang w:eastAsia="zh-CN"/>
              </w:rPr>
              <w:t>□</w:t>
            </w:r>
            <w:r>
              <w:rPr>
                <w:rFonts w:hint="eastAsia" w:ascii="Times New Roman" w:hAnsi="Times New Roman" w:eastAsia="宋体" w:cs="Times New Roman"/>
                <w:szCs w:val="21"/>
                <w:highlight w:val="none"/>
              </w:rPr>
              <w:t>固定</w:t>
            </w:r>
            <w:r>
              <w:rPr>
                <w:rFonts w:ascii="Times New Roman" w:hAnsi="Times New Roman" w:eastAsia="宋体" w:cs="Times New Roman"/>
                <w:szCs w:val="21"/>
                <w:highlight w:val="none"/>
              </w:rPr>
              <w:t>总价</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3.2.</w:t>
            </w:r>
            <w:r>
              <w:rPr>
                <w:rFonts w:hint="eastAsia" w:ascii="Times New Roman" w:hAnsi="Times New Roman" w:eastAsia="宋体" w:cs="Times New Roman"/>
                <w:szCs w:val="21"/>
                <w:highlight w:val="none"/>
              </w:rPr>
              <w:t>5</w:t>
            </w:r>
          </w:p>
        </w:tc>
        <w:tc>
          <w:tcPr>
            <w:tcW w:w="257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报价的其他要求</w:t>
            </w:r>
          </w:p>
        </w:tc>
        <w:tc>
          <w:tcPr>
            <w:tcW w:w="5609"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无</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3.4.4</w:t>
            </w:r>
            <w:r>
              <w:rPr>
                <w:rFonts w:hint="eastAsia" w:ascii="Times New Roman" w:hAnsi="Times New Roman" w:eastAsia="宋体" w:cs="Times New Roman"/>
                <w:szCs w:val="21"/>
                <w:highlight w:val="none"/>
              </w:rPr>
              <w:t>（3）</w:t>
            </w:r>
          </w:p>
        </w:tc>
        <w:tc>
          <w:tcPr>
            <w:tcW w:w="257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highlight w:val="none"/>
              </w:rPr>
            </w:pPr>
            <w:r>
              <w:rPr>
                <w:rFonts w:ascii="Times New Roman" w:hAnsi="Times New Roman" w:cs="Times New Roman"/>
                <w:highlight w:val="none"/>
              </w:rPr>
              <w:t>其他不予退还响应保证金的情形</w:t>
            </w:r>
          </w:p>
        </w:tc>
        <w:tc>
          <w:tcPr>
            <w:tcW w:w="5609" w:type="dxa"/>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ascii="宋体" w:hAnsi="宋体" w:eastAsia="宋体" w:cs="宋体"/>
                <w:sz w:val="21"/>
                <w:szCs w:val="21"/>
                <w:highlight w:val="none"/>
              </w:rPr>
            </w:pPr>
            <w:r>
              <w:rPr>
                <w:rFonts w:hint="eastAsia" w:ascii="宋体" w:hAnsi="宋体" w:eastAsia="宋体" w:cs="宋体"/>
                <w:sz w:val="22"/>
                <w:szCs w:val="22"/>
                <w:highlight w:val="none"/>
              </w:rPr>
              <w:t>报</w:t>
            </w:r>
            <w:r>
              <w:rPr>
                <w:rFonts w:hint="eastAsia" w:ascii="宋体" w:hAnsi="宋体" w:eastAsia="宋体" w:cs="宋体"/>
                <w:sz w:val="21"/>
                <w:szCs w:val="21"/>
                <w:highlight w:val="none"/>
              </w:rPr>
              <w:t>价方出现以下情形的，其询价响应保证金将不予退还：</w:t>
            </w:r>
          </w:p>
          <w:p>
            <w:pPr>
              <w:pStyle w:val="7"/>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ascii="宋体" w:hAnsi="宋体" w:eastAsia="宋体" w:cs="宋体"/>
                <w:sz w:val="21"/>
                <w:szCs w:val="21"/>
                <w:highlight w:val="none"/>
              </w:rPr>
            </w:pP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eastAsia="zh-CN"/>
              </w:rPr>
              <w:t>）</w:t>
            </w:r>
            <w:r>
              <w:rPr>
                <w:rFonts w:hint="eastAsia" w:ascii="宋体" w:hAnsi="宋体" w:eastAsia="宋体" w:cs="宋体"/>
                <w:sz w:val="21"/>
                <w:szCs w:val="21"/>
                <w:highlight w:val="none"/>
              </w:rPr>
              <w:t>报价方在规定的响应有效期内撤销其响应文件</w:t>
            </w:r>
            <w:r>
              <w:rPr>
                <w:rFonts w:hint="eastAsia" w:ascii="宋体" w:hAnsi="宋体" w:eastAsia="宋体" w:cs="宋体"/>
                <w:sz w:val="21"/>
                <w:szCs w:val="21"/>
                <w:highlight w:val="none"/>
                <w:lang w:eastAsia="zh-CN"/>
              </w:rPr>
              <w:t>。</w:t>
            </w:r>
          </w:p>
          <w:p>
            <w:pPr>
              <w:pStyle w:val="7"/>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ascii="宋体" w:hAnsi="宋体" w:eastAsia="宋体" w:cs="宋体"/>
                <w:sz w:val="21"/>
                <w:szCs w:val="21"/>
                <w:highlight w:val="none"/>
              </w:rPr>
            </w:pP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eastAsia="zh-CN"/>
              </w:rPr>
              <w:t>）</w:t>
            </w:r>
            <w:r>
              <w:rPr>
                <w:rFonts w:hint="eastAsia" w:ascii="宋体" w:hAnsi="宋体" w:eastAsia="宋体" w:cs="宋体"/>
                <w:sz w:val="21"/>
                <w:szCs w:val="21"/>
                <w:highlight w:val="none"/>
              </w:rPr>
              <w:t>成交候选方无正当理由放弃成交资格的；或成交方无正当理由不与采购人签订合同的；或成交方在签订合同时向采购方提出附加条件或者更改合同实质性内容的；询价响应保证金按违约予以全额扣除。</w:t>
            </w:r>
          </w:p>
          <w:p>
            <w:pPr>
              <w:pStyle w:val="7"/>
              <w:keepNext w:val="0"/>
              <w:keepLines w:val="0"/>
              <w:pageBreakBefore w:val="0"/>
              <w:widowControl w:val="0"/>
              <w:kinsoku/>
              <w:wordWrap/>
              <w:overflowPunct/>
              <w:topLinePunct w:val="0"/>
              <w:autoSpaceDE/>
              <w:autoSpaceDN/>
              <w:bidi w:val="0"/>
              <w:adjustRightInd/>
              <w:snapToGrid/>
              <w:spacing w:after="0" w:line="440" w:lineRule="exact"/>
              <w:textAlignment w:val="auto"/>
              <w:rPr>
                <w:rFonts w:ascii="Times New Roman" w:hAnsi="Times New Roman" w:eastAsia="宋体" w:cs="Times New Roman"/>
                <w:szCs w:val="21"/>
                <w:highlight w:val="none"/>
              </w:rPr>
            </w:pP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3</w:t>
            </w:r>
            <w:r>
              <w:rPr>
                <w:rFonts w:hint="default" w:ascii="Times New Roman" w:hAnsi="Times New Roman" w:eastAsia="宋体" w:cs="Times New Roman"/>
                <w:sz w:val="21"/>
                <w:szCs w:val="21"/>
                <w:highlight w:val="none"/>
                <w:lang w:eastAsia="zh-CN"/>
              </w:rPr>
              <w:t>）</w:t>
            </w:r>
            <w:r>
              <w:rPr>
                <w:rFonts w:hint="eastAsia" w:ascii="宋体" w:hAnsi="宋体" w:eastAsia="宋体" w:cs="宋体"/>
                <w:sz w:val="21"/>
                <w:szCs w:val="21"/>
                <w:highlight w:val="none"/>
              </w:rPr>
              <w:t>供应商存在以他人名义报价、与他人串通报价、以行贿手段谋取成交、弄虚作假等行为。</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3.6.3（2）</w:t>
            </w:r>
          </w:p>
        </w:tc>
        <w:tc>
          <w:tcPr>
            <w:tcW w:w="257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cs="Times New Roman"/>
                <w:highlight w:val="none"/>
              </w:rPr>
            </w:pPr>
            <w:r>
              <w:rPr>
                <w:rFonts w:hint="eastAsia" w:ascii="Times New Roman" w:hAnsi="Times New Roman" w:cs="Times New Roman"/>
                <w:highlight w:val="none"/>
              </w:rPr>
              <w:t>响应文件副本份数</w:t>
            </w:r>
          </w:p>
        </w:tc>
        <w:tc>
          <w:tcPr>
            <w:tcW w:w="5609" w:type="dxa"/>
            <w:tcBorders>
              <w:top w:val="single" w:color="auto" w:sz="4" w:space="0"/>
              <w:left w:val="single" w:color="auto" w:sz="4" w:space="0"/>
              <w:bottom w:val="single" w:color="auto" w:sz="4" w:space="0"/>
              <w:right w:val="single" w:color="auto" w:sz="4" w:space="0"/>
            </w:tcBorders>
            <w:vAlign w:val="center"/>
          </w:tcPr>
          <w:p>
            <w:pPr>
              <w:spacing w:line="480" w:lineRule="exact"/>
              <w:rPr>
                <w:rFonts w:hint="default" w:ascii="Times New Roman" w:hAnsi="Times New Roman" w:eastAsia="宋体" w:cs="Times New Roman"/>
                <w:szCs w:val="21"/>
                <w:highlight w:val="none"/>
                <w:u w:val="single"/>
                <w:lang w:val="en-US"/>
              </w:rPr>
            </w:pPr>
            <w:r>
              <w:rPr>
                <w:rFonts w:hint="eastAsia" w:ascii="Times New Roman" w:hAnsi="Times New Roman" w:cs="Times New Roman"/>
                <w:highlight w:val="none"/>
              </w:rPr>
              <w:t>响应文件应</w:t>
            </w:r>
            <w:r>
              <w:rPr>
                <w:rFonts w:hint="eastAsia" w:ascii="Times New Roman" w:hAnsi="Times New Roman" w:cs="Times New Roman"/>
                <w:b w:val="0"/>
                <w:bCs w:val="0"/>
                <w:highlight w:val="none"/>
              </w:rPr>
              <w:t>胶装成册</w:t>
            </w:r>
            <w:r>
              <w:rPr>
                <w:rFonts w:hint="eastAsia" w:ascii="Times New Roman" w:hAnsi="Times New Roman" w:cs="Times New Roman"/>
                <w:b/>
                <w:bCs/>
                <w:highlight w:val="none"/>
              </w:rPr>
              <w:t>，</w:t>
            </w:r>
            <w:r>
              <w:rPr>
                <w:rFonts w:ascii="Times New Roman" w:hAnsi="Times New Roman" w:cs="Times New Roman"/>
                <w:highlight w:val="none"/>
              </w:rPr>
              <w:t>正</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副本各</w:t>
            </w:r>
            <w:r>
              <w:rPr>
                <w:rFonts w:ascii="Times New Roman" w:hAnsi="Times New Roman" w:cs="Times New Roman"/>
                <w:highlight w:val="none"/>
              </w:rPr>
              <w:t>一份。</w:t>
            </w:r>
            <w:r>
              <w:rPr>
                <w:rFonts w:hint="eastAsia" w:ascii="Times New Roman" w:hAnsi="Times New Roman" w:cs="Times New Roman"/>
                <w:highlight w:val="none"/>
                <w:lang w:val="en-US" w:eastAsia="zh-CN"/>
              </w:rPr>
              <w:t xml:space="preserve">正副本内容不一致时，以正本为准。 </w:t>
            </w:r>
          </w:p>
        </w:tc>
      </w:tr>
      <w:tr>
        <w:tblPrEx>
          <w:tblCellMar>
            <w:top w:w="0" w:type="dxa"/>
            <w:left w:w="108" w:type="dxa"/>
            <w:bottom w:w="0" w:type="dxa"/>
            <w:right w:w="108" w:type="dxa"/>
          </w:tblCellMar>
        </w:tblPrEx>
        <w:trPr>
          <w:trHeight w:val="567" w:hRule="atLeast"/>
        </w:trPr>
        <w:tc>
          <w:tcPr>
            <w:tcW w:w="1000" w:type="dxa"/>
            <w:vMerge w:val="restart"/>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eastAsia" w:ascii="Times New Roman" w:hAnsi="Times New Roman" w:eastAsia="宋体" w:cs="Times New Roman"/>
                <w:szCs w:val="21"/>
                <w:highlight w:val="none"/>
              </w:rPr>
            </w:pPr>
            <w:r>
              <w:rPr>
                <w:rFonts w:hint="eastAsia" w:ascii="Times New Roman" w:hAnsi="Times New Roman" w:cs="Times New Roman"/>
                <w:highlight w:val="none"/>
                <w:lang w:val="en-US" w:eastAsia="zh-CN"/>
              </w:rPr>
              <w:t>4.1</w:t>
            </w:r>
          </w:p>
        </w:tc>
        <w:tc>
          <w:tcPr>
            <w:tcW w:w="2572" w:type="dxa"/>
            <w:vMerge w:val="restart"/>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eastAsia" w:ascii="Times New Roman" w:hAnsi="Times New Roman" w:cs="Times New Roman"/>
                <w:highlight w:val="none"/>
              </w:rPr>
            </w:pPr>
            <w:r>
              <w:rPr>
                <w:rFonts w:hint="eastAsia" w:ascii="Times New Roman" w:hAnsi="Times New Roman" w:cs="Times New Roman"/>
                <w:b/>
                <w:bCs/>
                <w:highlight w:val="none"/>
              </w:rPr>
              <w:t>响应文件的密封和标记</w:t>
            </w:r>
          </w:p>
        </w:tc>
        <w:tc>
          <w:tcPr>
            <w:tcW w:w="5609" w:type="dxa"/>
            <w:tcBorders>
              <w:top w:val="single" w:color="auto" w:sz="4" w:space="0"/>
              <w:left w:val="single" w:color="auto" w:sz="4" w:space="0"/>
              <w:bottom w:val="single" w:color="auto" w:sz="4" w:space="0"/>
              <w:right w:val="single" w:color="auto" w:sz="4" w:space="0"/>
            </w:tcBorders>
            <w:vAlign w:val="center"/>
          </w:tcPr>
          <w:p>
            <w:pPr>
              <w:spacing w:line="480" w:lineRule="exact"/>
              <w:rPr>
                <w:rFonts w:hint="eastAsia" w:ascii="Times New Roman" w:hAnsi="Times New Roman" w:cs="Times New Roman"/>
                <w:highlight w:val="none"/>
              </w:rPr>
            </w:pPr>
            <w:r>
              <w:rPr>
                <w:rFonts w:ascii="Times New Roman" w:hAnsi="Times New Roman" w:cs="Times New Roman"/>
                <w:highlight w:val="none"/>
              </w:rPr>
              <w:t>响应文件</w:t>
            </w:r>
            <w:r>
              <w:rPr>
                <w:rFonts w:hint="eastAsia" w:ascii="Times New Roman" w:hAnsi="Times New Roman" w:cs="Times New Roman"/>
                <w:highlight w:val="none"/>
              </w:rPr>
              <w:t>正、副本</w:t>
            </w:r>
            <w:r>
              <w:rPr>
                <w:rFonts w:ascii="Times New Roman" w:hAnsi="Times New Roman" w:cs="Times New Roman"/>
                <w:highlight w:val="none"/>
              </w:rPr>
              <w:t>应密封包装</w:t>
            </w:r>
            <w:r>
              <w:rPr>
                <w:rFonts w:hint="eastAsia" w:ascii="Times New Roman" w:hAnsi="Times New Roman" w:cs="Times New Roman"/>
                <w:highlight w:val="none"/>
              </w:rPr>
              <w:t>在一个封套内，</w:t>
            </w:r>
            <w:r>
              <w:rPr>
                <w:rFonts w:hint="eastAsia" w:ascii="Times New Roman" w:hAnsi="Times New Roman" w:cs="Times New Roman"/>
                <w:highlight w:val="none"/>
                <w:lang w:val="en-US" w:eastAsia="zh-CN"/>
              </w:rPr>
              <w:t>第一信封（商务及技术文件）与第二信封（报价文件）分开密封。</w:t>
            </w:r>
          </w:p>
        </w:tc>
      </w:tr>
      <w:tr>
        <w:tblPrEx>
          <w:tblCellMar>
            <w:top w:w="0" w:type="dxa"/>
            <w:left w:w="108" w:type="dxa"/>
            <w:bottom w:w="0" w:type="dxa"/>
            <w:right w:w="108" w:type="dxa"/>
          </w:tblCellMar>
        </w:tblPrEx>
        <w:trPr>
          <w:trHeight w:val="567" w:hRule="atLeast"/>
        </w:trPr>
        <w:tc>
          <w:tcPr>
            <w:tcW w:w="1000" w:type="dxa"/>
            <w:vMerge w:val="continue"/>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eastAsia" w:ascii="Times New Roman" w:hAnsi="Times New Roman" w:eastAsia="宋体" w:cs="Times New Roman"/>
                <w:szCs w:val="21"/>
                <w:highlight w:val="none"/>
              </w:rPr>
            </w:pPr>
          </w:p>
        </w:tc>
        <w:tc>
          <w:tcPr>
            <w:tcW w:w="2572" w:type="dxa"/>
            <w:vMerge w:val="continue"/>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eastAsia" w:ascii="Times New Roman" w:hAnsi="Times New Roman" w:cs="Times New Roman"/>
                <w:highlight w:val="none"/>
              </w:rPr>
            </w:pPr>
          </w:p>
        </w:tc>
        <w:tc>
          <w:tcPr>
            <w:tcW w:w="560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420"/>
              <w:rPr>
                <w:rFonts w:ascii="Times New Roman" w:hAnsi="Times New Roman" w:cs="Times New Roman"/>
                <w:highlight w:val="none"/>
              </w:rPr>
            </w:pPr>
            <w:r>
              <w:rPr>
                <w:rFonts w:hint="eastAsia" w:ascii="Times New Roman" w:hAnsi="Times New Roman" w:cs="Times New Roman"/>
                <w:highlight w:val="none"/>
                <w:lang w:val="en-US" w:eastAsia="zh-CN"/>
              </w:rPr>
              <w:t>响应文件第一信封（商务及技术文件）</w:t>
            </w:r>
            <w:r>
              <w:rPr>
                <w:rFonts w:hint="eastAsia" w:ascii="Times New Roman" w:hAnsi="Times New Roman" w:cs="Times New Roman"/>
                <w:highlight w:val="none"/>
              </w:rPr>
              <w:t>封套上注明：</w:t>
            </w:r>
          </w:p>
          <w:p>
            <w:pPr>
              <w:spacing w:line="440" w:lineRule="exact"/>
              <w:ind w:firstLine="420"/>
              <w:rPr>
                <w:rFonts w:ascii="Times New Roman" w:hAnsi="Times New Roman" w:eastAsia="黑体" w:cs="黑体"/>
                <w:bCs/>
                <w:snapToGrid w:val="0"/>
                <w:kern w:val="0"/>
                <w:szCs w:val="21"/>
                <w:highlight w:val="none"/>
              </w:rPr>
            </w:pPr>
            <w:r>
              <w:rPr>
                <w:rFonts w:hint="eastAsia" w:ascii="Times New Roman" w:hAnsi="Times New Roman" w:eastAsia="黑体" w:cs="黑体"/>
                <w:bCs/>
                <w:snapToGrid w:val="0"/>
                <w:kern w:val="0"/>
                <w:szCs w:val="21"/>
                <w:highlight w:val="none"/>
              </w:rPr>
              <w:t>供应商名称：</w:t>
            </w:r>
            <w:r>
              <w:rPr>
                <w:rFonts w:hint="eastAsia" w:ascii="Times New Roman" w:hAnsi="Times New Roman" w:eastAsia="黑体" w:cs="黑体"/>
                <w:bCs/>
                <w:snapToGrid w:val="0"/>
                <w:kern w:val="0"/>
                <w:szCs w:val="21"/>
                <w:highlight w:val="none"/>
                <w:u w:val="single"/>
              </w:rPr>
              <w:t xml:space="preserve">            </w:t>
            </w:r>
          </w:p>
          <w:p>
            <w:pPr>
              <w:spacing w:line="440" w:lineRule="exact"/>
              <w:ind w:firstLine="420"/>
              <w:rPr>
                <w:rFonts w:ascii="Times New Roman" w:hAnsi="Times New Roman" w:eastAsia="黑体" w:cs="黑体"/>
                <w:bCs/>
                <w:snapToGrid w:val="0"/>
                <w:kern w:val="0"/>
                <w:szCs w:val="21"/>
                <w:highlight w:val="none"/>
              </w:rPr>
            </w:pPr>
            <w:r>
              <w:rPr>
                <w:rFonts w:hint="eastAsia" w:ascii="Times New Roman" w:hAnsi="Times New Roman" w:eastAsia="黑体" w:cs="黑体"/>
                <w:bCs/>
                <w:snapToGrid w:val="0"/>
                <w:kern w:val="0"/>
                <w:szCs w:val="21"/>
                <w:highlight w:val="none"/>
                <w:u w:val="single"/>
              </w:rPr>
              <w:t xml:space="preserve">       </w:t>
            </w:r>
            <w:r>
              <w:rPr>
                <w:rFonts w:hint="eastAsia" w:ascii="Times New Roman" w:hAnsi="Times New Roman" w:eastAsia="黑体" w:cs="黑体"/>
                <w:bCs/>
                <w:snapToGrid w:val="0"/>
                <w:kern w:val="0"/>
                <w:szCs w:val="21"/>
                <w:highlight w:val="none"/>
              </w:rPr>
              <w:t>(项目</w:t>
            </w:r>
            <w:r>
              <w:rPr>
                <w:rFonts w:hint="eastAsia" w:ascii="Times New Roman" w:hAnsi="Times New Roman" w:eastAsia="黑体" w:cs="黑体"/>
                <w:highlight w:val="none"/>
              </w:rPr>
              <w:t>名称</w:t>
            </w:r>
            <w:r>
              <w:rPr>
                <w:rFonts w:hint="eastAsia" w:ascii="Times New Roman" w:hAnsi="Times New Roman" w:eastAsia="黑体" w:cs="黑体"/>
                <w:bCs/>
                <w:snapToGrid w:val="0"/>
                <w:kern w:val="0"/>
                <w:szCs w:val="21"/>
                <w:highlight w:val="none"/>
              </w:rPr>
              <w:t>)</w:t>
            </w:r>
            <w:r>
              <w:rPr>
                <w:rFonts w:hint="eastAsia" w:ascii="Times New Roman" w:hAnsi="Times New Roman" w:eastAsia="黑体" w:cs="黑体"/>
                <w:bCs/>
                <w:snapToGrid w:val="0"/>
                <w:kern w:val="0"/>
                <w:szCs w:val="21"/>
                <w:highlight w:val="none"/>
                <w:u w:val="none"/>
                <w:lang w:val="en-US" w:eastAsia="zh-CN"/>
              </w:rPr>
              <w:t>第一信封（商务及技术文件）</w:t>
            </w:r>
            <w:r>
              <w:rPr>
                <w:rFonts w:hint="eastAsia" w:ascii="Times New Roman" w:hAnsi="Times New Roman" w:eastAsia="黑体" w:cs="黑体"/>
                <w:bCs/>
                <w:snapToGrid w:val="0"/>
                <w:kern w:val="0"/>
                <w:szCs w:val="21"/>
                <w:highlight w:val="none"/>
              </w:rPr>
              <w:t>响应文件</w:t>
            </w:r>
          </w:p>
          <w:p>
            <w:pPr>
              <w:spacing w:line="440" w:lineRule="exact"/>
              <w:ind w:firstLine="420"/>
              <w:rPr>
                <w:rFonts w:hint="eastAsia" w:ascii="Times New Roman" w:hAnsi="Times New Roman" w:cs="Times New Roman"/>
                <w:highlight w:val="none"/>
              </w:rPr>
            </w:pPr>
            <w:r>
              <w:rPr>
                <w:rFonts w:hint="eastAsia" w:ascii="Times New Roman" w:hAnsi="Times New Roman" w:eastAsia="黑体" w:cs="黑体"/>
                <w:bCs/>
                <w:snapToGrid w:val="0"/>
                <w:kern w:val="0"/>
                <w:szCs w:val="21"/>
                <w:highlight w:val="none"/>
              </w:rPr>
              <w:t>在</w:t>
            </w:r>
            <w:r>
              <w:rPr>
                <w:rFonts w:hint="eastAsia" w:ascii="Times New Roman" w:hAnsi="Times New Roman" w:eastAsia="黑体" w:cs="黑体"/>
                <w:bCs/>
                <w:snapToGrid w:val="0"/>
                <w:kern w:val="0"/>
                <w:szCs w:val="21"/>
                <w:highlight w:val="none"/>
                <w:u w:val="single"/>
              </w:rPr>
              <w:t xml:space="preserve">    </w:t>
            </w:r>
            <w:r>
              <w:rPr>
                <w:rFonts w:hint="eastAsia" w:ascii="Times New Roman" w:hAnsi="Times New Roman" w:eastAsia="黑体" w:cs="黑体"/>
                <w:bCs/>
                <w:snapToGrid w:val="0"/>
                <w:kern w:val="0"/>
                <w:szCs w:val="21"/>
                <w:highlight w:val="none"/>
              </w:rPr>
              <w:t>年</w:t>
            </w:r>
            <w:r>
              <w:rPr>
                <w:rFonts w:hint="eastAsia" w:ascii="Times New Roman" w:hAnsi="Times New Roman" w:eastAsia="黑体" w:cs="黑体"/>
                <w:bCs/>
                <w:snapToGrid w:val="0"/>
                <w:kern w:val="0"/>
                <w:szCs w:val="21"/>
                <w:highlight w:val="none"/>
                <w:u w:val="single"/>
              </w:rPr>
              <w:t xml:space="preserve">   </w:t>
            </w:r>
            <w:r>
              <w:rPr>
                <w:rFonts w:hint="eastAsia" w:ascii="Times New Roman" w:hAnsi="Times New Roman" w:eastAsia="黑体" w:cs="黑体"/>
                <w:bCs/>
                <w:snapToGrid w:val="0"/>
                <w:kern w:val="0"/>
                <w:szCs w:val="21"/>
                <w:highlight w:val="none"/>
              </w:rPr>
              <w:t>月</w:t>
            </w:r>
            <w:r>
              <w:rPr>
                <w:rFonts w:hint="eastAsia" w:ascii="Times New Roman" w:hAnsi="Times New Roman" w:eastAsia="黑体" w:cs="黑体"/>
                <w:bCs/>
                <w:snapToGrid w:val="0"/>
                <w:kern w:val="0"/>
                <w:szCs w:val="21"/>
                <w:highlight w:val="none"/>
                <w:u w:val="single"/>
              </w:rPr>
              <w:t xml:space="preserve">   </w:t>
            </w:r>
            <w:r>
              <w:rPr>
                <w:rFonts w:hint="eastAsia" w:ascii="Times New Roman" w:hAnsi="Times New Roman" w:eastAsia="黑体" w:cs="黑体"/>
                <w:bCs/>
                <w:snapToGrid w:val="0"/>
                <w:kern w:val="0"/>
                <w:szCs w:val="21"/>
                <w:highlight w:val="none"/>
              </w:rPr>
              <w:t>日</w:t>
            </w:r>
            <w:r>
              <w:rPr>
                <w:rFonts w:hint="eastAsia" w:ascii="Times New Roman" w:hAnsi="Times New Roman" w:eastAsia="黑体" w:cs="黑体"/>
                <w:bCs/>
                <w:snapToGrid w:val="0"/>
                <w:kern w:val="0"/>
                <w:szCs w:val="21"/>
                <w:highlight w:val="none"/>
                <w:u w:val="single"/>
              </w:rPr>
              <w:t xml:space="preserve">    </w:t>
            </w:r>
            <w:r>
              <w:rPr>
                <w:rFonts w:hint="eastAsia" w:ascii="Times New Roman" w:hAnsi="Times New Roman" w:eastAsia="黑体" w:cs="黑体"/>
                <w:bCs/>
                <w:snapToGrid w:val="0"/>
                <w:kern w:val="0"/>
                <w:szCs w:val="21"/>
                <w:highlight w:val="none"/>
              </w:rPr>
              <w:t>时</w:t>
            </w:r>
            <w:r>
              <w:rPr>
                <w:rFonts w:hint="eastAsia" w:ascii="Times New Roman" w:hAnsi="Times New Roman" w:eastAsia="黑体" w:cs="黑体"/>
                <w:bCs/>
                <w:snapToGrid w:val="0"/>
                <w:kern w:val="0"/>
                <w:szCs w:val="21"/>
                <w:highlight w:val="none"/>
                <w:u w:val="single"/>
              </w:rPr>
              <w:t xml:space="preserve">   </w:t>
            </w:r>
            <w:r>
              <w:rPr>
                <w:rFonts w:hint="eastAsia" w:ascii="Times New Roman" w:hAnsi="Times New Roman" w:eastAsia="黑体" w:cs="黑体"/>
                <w:bCs/>
                <w:snapToGrid w:val="0"/>
                <w:kern w:val="0"/>
                <w:szCs w:val="21"/>
                <w:highlight w:val="none"/>
              </w:rPr>
              <w:t>分（递交响应文件的截止时间）前不得开启</w:t>
            </w:r>
          </w:p>
        </w:tc>
      </w:tr>
      <w:tr>
        <w:tblPrEx>
          <w:tblCellMar>
            <w:top w:w="0" w:type="dxa"/>
            <w:left w:w="108" w:type="dxa"/>
            <w:bottom w:w="0" w:type="dxa"/>
            <w:right w:w="108" w:type="dxa"/>
          </w:tblCellMar>
        </w:tblPrEx>
        <w:trPr>
          <w:trHeight w:val="567" w:hRule="atLeast"/>
        </w:trPr>
        <w:tc>
          <w:tcPr>
            <w:tcW w:w="1000" w:type="dxa"/>
            <w:vMerge w:val="continue"/>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eastAsia" w:ascii="Times New Roman" w:hAnsi="Times New Roman" w:eastAsia="宋体" w:cs="Times New Roman"/>
                <w:szCs w:val="21"/>
                <w:highlight w:val="none"/>
              </w:rPr>
            </w:pPr>
          </w:p>
        </w:tc>
        <w:tc>
          <w:tcPr>
            <w:tcW w:w="2572" w:type="dxa"/>
            <w:vMerge w:val="continue"/>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eastAsia" w:ascii="Times New Roman" w:hAnsi="Times New Roman" w:cs="Times New Roman"/>
                <w:highlight w:val="none"/>
              </w:rPr>
            </w:pPr>
          </w:p>
        </w:tc>
        <w:tc>
          <w:tcPr>
            <w:tcW w:w="5609" w:type="dxa"/>
            <w:tcBorders>
              <w:top w:val="single" w:color="auto" w:sz="4" w:space="0"/>
              <w:left w:val="single" w:color="auto" w:sz="4" w:space="0"/>
              <w:bottom w:val="single" w:color="auto" w:sz="4" w:space="0"/>
              <w:right w:val="single" w:color="auto" w:sz="4" w:space="0"/>
            </w:tcBorders>
            <w:vAlign w:val="center"/>
          </w:tcPr>
          <w:p>
            <w:pPr>
              <w:spacing w:line="440" w:lineRule="exact"/>
              <w:ind w:firstLine="420"/>
              <w:rPr>
                <w:rFonts w:ascii="Times New Roman" w:hAnsi="Times New Roman" w:cs="Times New Roman"/>
                <w:highlight w:val="none"/>
              </w:rPr>
            </w:pPr>
            <w:r>
              <w:rPr>
                <w:rFonts w:hint="eastAsia" w:ascii="Times New Roman" w:hAnsi="Times New Roman" w:cs="Times New Roman"/>
                <w:highlight w:val="none"/>
                <w:lang w:val="en-US" w:eastAsia="zh-CN"/>
              </w:rPr>
              <w:t>响应文件第二信封（报价文件）</w:t>
            </w:r>
            <w:r>
              <w:rPr>
                <w:rFonts w:hint="eastAsia" w:ascii="Times New Roman" w:hAnsi="Times New Roman" w:cs="Times New Roman"/>
                <w:highlight w:val="none"/>
              </w:rPr>
              <w:t>封套上注明：</w:t>
            </w:r>
          </w:p>
          <w:p>
            <w:pPr>
              <w:spacing w:line="440" w:lineRule="exact"/>
              <w:ind w:firstLine="420"/>
              <w:rPr>
                <w:rFonts w:ascii="Times New Roman" w:hAnsi="Times New Roman" w:eastAsia="黑体" w:cs="黑体"/>
                <w:bCs/>
                <w:snapToGrid w:val="0"/>
                <w:kern w:val="0"/>
                <w:szCs w:val="21"/>
                <w:highlight w:val="none"/>
              </w:rPr>
            </w:pPr>
            <w:r>
              <w:rPr>
                <w:rFonts w:hint="eastAsia" w:ascii="Times New Roman" w:hAnsi="Times New Roman" w:eastAsia="黑体" w:cs="黑体"/>
                <w:bCs/>
                <w:snapToGrid w:val="0"/>
                <w:kern w:val="0"/>
                <w:szCs w:val="21"/>
                <w:highlight w:val="none"/>
              </w:rPr>
              <w:t>供应商名称：</w:t>
            </w:r>
            <w:r>
              <w:rPr>
                <w:rFonts w:hint="eastAsia" w:ascii="Times New Roman" w:hAnsi="Times New Roman" w:eastAsia="黑体" w:cs="黑体"/>
                <w:bCs/>
                <w:snapToGrid w:val="0"/>
                <w:kern w:val="0"/>
                <w:szCs w:val="21"/>
                <w:highlight w:val="none"/>
                <w:u w:val="single"/>
              </w:rPr>
              <w:t xml:space="preserve">            </w:t>
            </w:r>
          </w:p>
          <w:p>
            <w:pPr>
              <w:spacing w:line="440" w:lineRule="exact"/>
              <w:ind w:firstLine="420"/>
              <w:rPr>
                <w:rFonts w:ascii="Times New Roman" w:hAnsi="Times New Roman" w:eastAsia="黑体" w:cs="黑体"/>
                <w:bCs/>
                <w:snapToGrid w:val="0"/>
                <w:kern w:val="0"/>
                <w:szCs w:val="21"/>
                <w:highlight w:val="none"/>
              </w:rPr>
            </w:pPr>
            <w:r>
              <w:rPr>
                <w:rFonts w:hint="eastAsia" w:ascii="Times New Roman" w:hAnsi="Times New Roman" w:eastAsia="黑体" w:cs="黑体"/>
                <w:bCs/>
                <w:snapToGrid w:val="0"/>
                <w:kern w:val="0"/>
                <w:szCs w:val="21"/>
                <w:highlight w:val="none"/>
                <w:u w:val="single"/>
              </w:rPr>
              <w:t xml:space="preserve">       </w:t>
            </w:r>
            <w:r>
              <w:rPr>
                <w:rFonts w:hint="eastAsia" w:ascii="Times New Roman" w:hAnsi="Times New Roman" w:eastAsia="黑体" w:cs="黑体"/>
                <w:bCs/>
                <w:snapToGrid w:val="0"/>
                <w:kern w:val="0"/>
                <w:szCs w:val="21"/>
                <w:highlight w:val="none"/>
              </w:rPr>
              <w:t>(项目</w:t>
            </w:r>
            <w:r>
              <w:rPr>
                <w:rFonts w:hint="eastAsia" w:ascii="Times New Roman" w:hAnsi="Times New Roman" w:eastAsia="黑体" w:cs="黑体"/>
                <w:highlight w:val="none"/>
              </w:rPr>
              <w:t>名称</w:t>
            </w:r>
            <w:r>
              <w:rPr>
                <w:rFonts w:hint="eastAsia" w:ascii="Times New Roman" w:hAnsi="Times New Roman" w:eastAsia="黑体" w:cs="黑体"/>
                <w:bCs/>
                <w:snapToGrid w:val="0"/>
                <w:kern w:val="0"/>
                <w:szCs w:val="21"/>
                <w:highlight w:val="none"/>
              </w:rPr>
              <w:t>)</w:t>
            </w:r>
            <w:r>
              <w:rPr>
                <w:rFonts w:hint="eastAsia" w:ascii="Times New Roman" w:hAnsi="Times New Roman" w:eastAsia="黑体" w:cs="黑体"/>
                <w:bCs/>
                <w:snapToGrid w:val="0"/>
                <w:kern w:val="0"/>
                <w:szCs w:val="21"/>
                <w:highlight w:val="none"/>
                <w:u w:val="none"/>
                <w:lang w:val="en-US" w:eastAsia="zh-CN"/>
              </w:rPr>
              <w:t>第二信封（报价文件）</w:t>
            </w:r>
            <w:r>
              <w:rPr>
                <w:rFonts w:hint="eastAsia" w:ascii="Times New Roman" w:hAnsi="Times New Roman" w:eastAsia="黑体" w:cs="黑体"/>
                <w:bCs/>
                <w:snapToGrid w:val="0"/>
                <w:kern w:val="0"/>
                <w:szCs w:val="21"/>
                <w:highlight w:val="none"/>
              </w:rPr>
              <w:t>响应文件</w:t>
            </w:r>
          </w:p>
          <w:p>
            <w:pPr>
              <w:spacing w:line="440" w:lineRule="exact"/>
              <w:ind w:firstLine="420" w:firstLineChars="200"/>
              <w:jc w:val="both"/>
              <w:rPr>
                <w:rFonts w:hint="eastAsia" w:ascii="Times New Roman" w:hAnsi="Times New Roman" w:cs="Times New Roman"/>
                <w:highlight w:val="none"/>
              </w:rPr>
            </w:pPr>
            <w:r>
              <w:rPr>
                <w:rFonts w:hint="eastAsia" w:ascii="Times New Roman" w:hAnsi="Times New Roman" w:eastAsia="黑体" w:cs="黑体"/>
                <w:bCs/>
                <w:snapToGrid w:val="0"/>
                <w:kern w:val="0"/>
                <w:szCs w:val="21"/>
                <w:highlight w:val="none"/>
                <w:lang w:val="en-US" w:eastAsia="zh-CN"/>
              </w:rPr>
              <w:t>在第一信封开启</w:t>
            </w:r>
            <w:r>
              <w:rPr>
                <w:rFonts w:hint="eastAsia" w:ascii="Times New Roman" w:hAnsi="Times New Roman" w:eastAsia="黑体" w:cs="黑体"/>
                <w:bCs/>
                <w:snapToGrid w:val="0"/>
                <w:kern w:val="0"/>
                <w:szCs w:val="21"/>
                <w:highlight w:val="none"/>
              </w:rPr>
              <w:t>前不得开启</w:t>
            </w:r>
          </w:p>
        </w:tc>
      </w:tr>
      <w:tr>
        <w:tblPrEx>
          <w:tblCellMar>
            <w:top w:w="0" w:type="dxa"/>
            <w:left w:w="108" w:type="dxa"/>
            <w:bottom w:w="0" w:type="dxa"/>
            <w:right w:w="108" w:type="dxa"/>
          </w:tblCellMar>
        </w:tblPrEx>
        <w:trPr>
          <w:trHeight w:val="57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5.2.1（3）</w:t>
            </w:r>
          </w:p>
        </w:tc>
        <w:tc>
          <w:tcPr>
            <w:tcW w:w="257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启封公布的其他内容</w:t>
            </w:r>
          </w:p>
        </w:tc>
        <w:tc>
          <w:tcPr>
            <w:tcW w:w="560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无</w:t>
            </w:r>
          </w:p>
        </w:tc>
      </w:tr>
      <w:tr>
        <w:tblPrEx>
          <w:tblCellMar>
            <w:top w:w="0" w:type="dxa"/>
            <w:left w:w="108" w:type="dxa"/>
            <w:bottom w:w="0" w:type="dxa"/>
            <w:right w:w="108" w:type="dxa"/>
          </w:tblCellMar>
        </w:tblPrEx>
        <w:trPr>
          <w:trHeight w:val="916"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7.4.1</w:t>
            </w:r>
          </w:p>
        </w:tc>
        <w:tc>
          <w:tcPr>
            <w:tcW w:w="257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履约保证金</w:t>
            </w:r>
          </w:p>
        </w:tc>
        <w:tc>
          <w:tcPr>
            <w:tcW w:w="5609"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（1）中标后，响应保证金自动转为履约保证金。</w:t>
            </w:r>
          </w:p>
          <w:p>
            <w:pPr>
              <w:snapToGrid w:val="0"/>
              <w:spacing w:line="480" w:lineRule="exact"/>
              <w:rPr>
                <w:highlight w:val="none"/>
              </w:rPr>
            </w:pPr>
            <w:r>
              <w:rPr>
                <w:rFonts w:hint="eastAsia" w:ascii="宋体" w:hAnsi="宋体" w:eastAsia="宋体" w:cs="宋体"/>
                <w:kern w:val="2"/>
                <w:sz w:val="21"/>
                <w:szCs w:val="21"/>
                <w:highlight w:val="none"/>
                <w:lang w:val="en-US" w:eastAsia="zh-CN" w:bidi="ar-SA"/>
              </w:rPr>
              <w:t>（2）履约保证金退还时间：该项目物资供应完成后28天内。</w:t>
            </w:r>
          </w:p>
        </w:tc>
      </w:tr>
      <w:tr>
        <w:tblPrEx>
          <w:tblCellMar>
            <w:top w:w="0" w:type="dxa"/>
            <w:left w:w="108" w:type="dxa"/>
            <w:bottom w:w="0" w:type="dxa"/>
            <w:right w:w="108" w:type="dxa"/>
          </w:tblCellMar>
        </w:tblPrEx>
        <w:trPr>
          <w:trHeight w:val="640" w:hRule="atLeast"/>
        </w:trPr>
        <w:tc>
          <w:tcPr>
            <w:tcW w:w="9181"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80" w:lineRule="exact"/>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9</w:t>
            </w:r>
            <w:r>
              <w:rPr>
                <w:rFonts w:ascii="Times New Roman" w:hAnsi="Times New Roman" w:eastAsia="宋体" w:cs="Times New Roman"/>
                <w:szCs w:val="21"/>
                <w:highlight w:val="none"/>
              </w:rPr>
              <w:t>需要补充的其他内容</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9.1</w:t>
            </w:r>
          </w:p>
        </w:tc>
        <w:tc>
          <w:tcPr>
            <w:tcW w:w="8181"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80" w:lineRule="exact"/>
              <w:ind w:firstLine="420" w:firstLineChars="200"/>
              <w:rPr>
                <w:rFonts w:hint="eastAsia"/>
                <w:highlight w:val="none"/>
                <w:lang w:val="en-US" w:eastAsia="zh-CN"/>
              </w:rPr>
            </w:pPr>
            <w:r>
              <w:rPr>
                <w:rFonts w:hint="eastAsia"/>
                <w:highlight w:val="none"/>
                <w:lang w:val="en-US" w:eastAsia="zh-CN"/>
              </w:rPr>
              <w:t>投标人或其他利害关系人对评标结果有异议的，应以书面形式提出，异议材料应包括：</w:t>
            </w:r>
          </w:p>
          <w:p>
            <w:pPr>
              <w:snapToGrid w:val="0"/>
              <w:spacing w:line="480" w:lineRule="exact"/>
              <w:rPr>
                <w:rFonts w:hint="eastAsia"/>
                <w:highlight w:val="none"/>
                <w:lang w:val="en-US" w:eastAsia="zh-CN"/>
              </w:rPr>
            </w:pPr>
            <w:r>
              <w:rPr>
                <w:rFonts w:hint="eastAsia"/>
                <w:highlight w:val="none"/>
                <w:lang w:val="en-US" w:eastAsia="zh-CN"/>
              </w:rPr>
              <w:t>（1）异议人的名称、地址及有效联系方式；</w:t>
            </w:r>
          </w:p>
          <w:p>
            <w:pPr>
              <w:snapToGrid w:val="0"/>
              <w:spacing w:line="480" w:lineRule="exact"/>
              <w:rPr>
                <w:rFonts w:hint="eastAsia"/>
                <w:highlight w:val="none"/>
                <w:lang w:val="en-US" w:eastAsia="zh-CN"/>
              </w:rPr>
            </w:pPr>
            <w:r>
              <w:rPr>
                <w:rFonts w:hint="eastAsia"/>
                <w:highlight w:val="none"/>
                <w:lang w:val="en-US" w:eastAsia="zh-CN"/>
              </w:rPr>
              <w:t>（2）异议事项的基本事实；</w:t>
            </w:r>
          </w:p>
          <w:p>
            <w:pPr>
              <w:snapToGrid w:val="0"/>
              <w:spacing w:line="480" w:lineRule="exact"/>
              <w:rPr>
                <w:rFonts w:hint="eastAsia"/>
                <w:highlight w:val="none"/>
                <w:lang w:val="en-US" w:eastAsia="zh-CN"/>
              </w:rPr>
            </w:pPr>
            <w:r>
              <w:rPr>
                <w:rFonts w:hint="eastAsia"/>
                <w:highlight w:val="none"/>
                <w:lang w:val="en-US" w:eastAsia="zh-CN"/>
              </w:rPr>
              <w:t>（3）有效线索和相关证明材料。</w:t>
            </w:r>
          </w:p>
          <w:p>
            <w:pPr>
              <w:snapToGrid w:val="0"/>
              <w:spacing w:line="480" w:lineRule="exact"/>
              <w:ind w:firstLine="420" w:firstLineChars="200"/>
              <w:rPr>
                <w:rFonts w:hint="eastAsia" w:ascii="Times New Roman" w:hAnsi="Times New Roman" w:eastAsia="宋体" w:cs="Times New Roman"/>
                <w:szCs w:val="21"/>
                <w:highlight w:val="none"/>
                <w:lang w:val="en-US" w:eastAsia="zh-CN"/>
              </w:rPr>
            </w:pPr>
            <w:r>
              <w:rPr>
                <w:rFonts w:hint="eastAsia"/>
                <w:highlight w:val="none"/>
                <w:lang w:val="en-US" w:eastAsia="zh-CN"/>
              </w:rPr>
              <w:t>异议人是法人的，异议材料必须由其法定代表人或者授权代表签字并盖章；其他组织或者个人提出异议的，异议材料必须由其主要负责人或者异议本人签字，并附有效身份证明复印件。</w:t>
            </w:r>
          </w:p>
        </w:tc>
      </w:tr>
      <w:tr>
        <w:tblPrEx>
          <w:tblCellMar>
            <w:top w:w="0" w:type="dxa"/>
            <w:left w:w="108" w:type="dxa"/>
            <w:bottom w:w="0" w:type="dxa"/>
            <w:right w:w="108" w:type="dxa"/>
          </w:tblCellMar>
        </w:tblPrEx>
        <w:trPr>
          <w:trHeight w:val="567"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9.2</w:t>
            </w:r>
          </w:p>
        </w:tc>
        <w:tc>
          <w:tcPr>
            <w:tcW w:w="8181"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80" w:lineRule="exact"/>
              <w:rPr>
                <w:rFonts w:hint="eastAsia"/>
                <w:highlight w:val="none"/>
                <w:lang w:val="en-US" w:eastAsia="zh-CN"/>
              </w:rPr>
            </w:pPr>
            <w:r>
              <w:rPr>
                <w:rFonts w:hint="eastAsia"/>
                <w:b/>
                <w:bCs/>
                <w:highlight w:val="none"/>
                <w:lang w:val="en-US" w:eastAsia="zh-CN"/>
              </w:rPr>
              <w:t>一、如在约定的供货期限内达不到招标人要求的供货数量：</w:t>
            </w:r>
          </w:p>
          <w:p>
            <w:pPr>
              <w:snapToGrid w:val="0"/>
              <w:spacing w:line="480" w:lineRule="exact"/>
              <w:rPr>
                <w:rFonts w:hint="eastAsia"/>
                <w:highlight w:val="none"/>
                <w:lang w:val="en-US" w:eastAsia="zh-CN"/>
              </w:rPr>
            </w:pPr>
            <w:r>
              <w:rPr>
                <w:rFonts w:hint="eastAsia"/>
                <w:highlight w:val="none"/>
                <w:lang w:val="en-US" w:eastAsia="zh-CN"/>
              </w:rPr>
              <w:t>1.采购人人有权终止合同，并依据合同规定追究法律责任。</w:t>
            </w:r>
          </w:p>
          <w:p>
            <w:pPr>
              <w:snapToGrid w:val="0"/>
              <w:spacing w:line="480" w:lineRule="exact"/>
              <w:rPr>
                <w:rFonts w:hint="eastAsia"/>
                <w:highlight w:val="none"/>
                <w:lang w:val="en-US" w:eastAsia="zh-CN"/>
              </w:rPr>
            </w:pPr>
            <w:r>
              <w:rPr>
                <w:rFonts w:hint="eastAsia"/>
                <w:highlight w:val="none"/>
                <w:lang w:val="en-US" w:eastAsia="zh-CN"/>
              </w:rPr>
              <w:t>2.采购人有权将违约行为有权按照约定进行处罚。</w:t>
            </w:r>
          </w:p>
          <w:p>
            <w:pPr>
              <w:snapToGrid w:val="0"/>
              <w:spacing w:line="480" w:lineRule="exact"/>
              <w:rPr>
                <w:rFonts w:hint="eastAsia"/>
                <w:b/>
                <w:bCs/>
                <w:highlight w:val="none"/>
                <w:lang w:val="en-US" w:eastAsia="zh-CN"/>
              </w:rPr>
            </w:pPr>
            <w:r>
              <w:rPr>
                <w:rFonts w:hint="eastAsia"/>
                <w:b/>
                <w:bCs/>
                <w:highlight w:val="none"/>
                <w:lang w:val="en-US" w:eastAsia="zh-CN"/>
              </w:rPr>
              <w:t>二、异常低价，采购人有权做废标处理。</w:t>
            </w:r>
          </w:p>
          <w:p>
            <w:pPr>
              <w:snapToGrid w:val="0"/>
              <w:spacing w:line="480" w:lineRule="exact"/>
              <w:rPr>
                <w:rFonts w:hint="eastAsia"/>
                <w:b/>
                <w:bCs/>
                <w:highlight w:val="yellow"/>
                <w:lang w:val="en-US" w:eastAsia="zh-CN"/>
              </w:rPr>
            </w:pPr>
            <w:r>
              <w:rPr>
                <w:rFonts w:hint="eastAsia"/>
                <w:b/>
                <w:bCs/>
                <w:highlight w:val="yellow"/>
                <w:lang w:val="en-US" w:eastAsia="zh-CN"/>
              </w:rPr>
              <w:t>三、注意事项</w:t>
            </w:r>
          </w:p>
          <w:p>
            <w:pPr>
              <w:pStyle w:val="28"/>
              <w:keepNext w:val="0"/>
              <w:keepLines w:val="0"/>
              <w:pageBreakBefore w:val="0"/>
              <w:widowControl w:val="0"/>
              <w:numPr>
                <w:ilvl w:val="0"/>
                <w:numId w:val="0"/>
              </w:numPr>
              <w:kinsoku/>
              <w:wordWrap/>
              <w:overflowPunct/>
              <w:topLinePunct w:val="0"/>
              <w:bidi w:val="0"/>
              <w:adjustRightInd/>
              <w:snapToGrid/>
              <w:spacing w:line="400" w:lineRule="exact"/>
              <w:textAlignment w:val="auto"/>
              <w:rPr>
                <w:rFonts w:hint="eastAsia" w:asciiTheme="minorHAnsi" w:hAnsiTheme="minorHAnsi" w:eastAsiaTheme="minorEastAsia" w:cstheme="minorBidi"/>
                <w:color w:val="auto"/>
                <w:kern w:val="2"/>
                <w:sz w:val="21"/>
                <w:szCs w:val="24"/>
                <w:highlight w:val="yellow"/>
                <w:lang w:val="en-US" w:eastAsia="zh-CN" w:bidi="ar-SA"/>
              </w:rPr>
            </w:pPr>
            <w:r>
              <w:rPr>
                <w:rFonts w:hint="eastAsia" w:asciiTheme="minorHAnsi" w:hAnsiTheme="minorHAnsi" w:eastAsiaTheme="minorEastAsia" w:cstheme="minorBidi"/>
                <w:color w:val="auto"/>
                <w:kern w:val="2"/>
                <w:sz w:val="21"/>
                <w:szCs w:val="24"/>
                <w:highlight w:val="yellow"/>
                <w:lang w:val="en-US" w:eastAsia="zh-CN" w:bidi="ar-SA"/>
              </w:rPr>
              <w:t>1.制造商的授权代理商参加询比的，中标后须提供代理证书或品牌授权书原件；</w:t>
            </w:r>
          </w:p>
          <w:p>
            <w:pPr>
              <w:pStyle w:val="28"/>
              <w:keepNext w:val="0"/>
              <w:keepLines w:val="0"/>
              <w:pageBreakBefore w:val="0"/>
              <w:widowControl w:val="0"/>
              <w:numPr>
                <w:ilvl w:val="0"/>
                <w:numId w:val="0"/>
              </w:numPr>
              <w:kinsoku/>
              <w:wordWrap/>
              <w:overflowPunct/>
              <w:topLinePunct w:val="0"/>
              <w:bidi w:val="0"/>
              <w:adjustRightInd/>
              <w:snapToGrid/>
              <w:spacing w:line="400" w:lineRule="exact"/>
              <w:textAlignment w:val="auto"/>
              <w:rPr>
                <w:rFonts w:hint="default" w:asciiTheme="minorHAnsi" w:hAnsiTheme="minorHAnsi" w:eastAsiaTheme="minorEastAsia" w:cstheme="minorBidi"/>
                <w:kern w:val="2"/>
                <w:sz w:val="21"/>
                <w:szCs w:val="24"/>
                <w:highlight w:val="yellow"/>
                <w:lang w:val="en-US" w:eastAsia="zh-CN" w:bidi="ar-SA"/>
              </w:rPr>
            </w:pPr>
            <w:r>
              <w:rPr>
                <w:rFonts w:hint="eastAsia" w:asciiTheme="minorHAnsi" w:hAnsiTheme="minorHAnsi" w:eastAsiaTheme="minorEastAsia" w:cstheme="minorBidi"/>
                <w:kern w:val="2"/>
                <w:sz w:val="21"/>
                <w:szCs w:val="24"/>
                <w:highlight w:val="yellow"/>
                <w:lang w:val="en-US" w:eastAsia="zh-CN" w:bidi="ar-SA"/>
              </w:rPr>
              <w:t>2.供应商再中标后须按规定对施工现场进行考察踏勘。</w:t>
            </w:r>
          </w:p>
          <w:p>
            <w:pPr>
              <w:pStyle w:val="7"/>
              <w:keepNext w:val="0"/>
              <w:keepLines w:val="0"/>
              <w:pageBreakBefore w:val="0"/>
              <w:widowControl w:val="0"/>
              <w:numPr>
                <w:ilvl w:val="0"/>
                <w:numId w:val="0"/>
              </w:numPr>
              <w:kinsoku/>
              <w:wordWrap/>
              <w:overflowPunct/>
              <w:topLinePunct w:val="0"/>
              <w:bidi w:val="0"/>
              <w:adjustRightInd/>
              <w:snapToGrid/>
              <w:spacing w:line="400" w:lineRule="exact"/>
              <w:ind w:leftChars="0"/>
              <w:textAlignment w:val="auto"/>
              <w:rPr>
                <w:rFonts w:hint="default"/>
                <w:lang w:val="en-US" w:eastAsia="zh-CN"/>
              </w:rPr>
            </w:pPr>
            <w:r>
              <w:rPr>
                <w:rFonts w:hint="eastAsia" w:cstheme="minorBidi"/>
                <w:kern w:val="2"/>
                <w:sz w:val="21"/>
                <w:szCs w:val="24"/>
                <w:highlight w:val="yellow"/>
                <w:lang w:val="en-US" w:eastAsia="zh-CN" w:bidi="ar-SA"/>
              </w:rPr>
              <w:t>3.</w:t>
            </w:r>
            <w:r>
              <w:rPr>
                <w:rFonts w:hint="eastAsia" w:asciiTheme="minorHAnsi" w:hAnsiTheme="minorHAnsi" w:eastAsiaTheme="minorEastAsia" w:cstheme="minorBidi"/>
                <w:kern w:val="2"/>
                <w:sz w:val="21"/>
                <w:szCs w:val="24"/>
                <w:highlight w:val="yellow"/>
                <w:lang w:val="en-US" w:eastAsia="zh-CN" w:bidi="ar-SA"/>
              </w:rPr>
              <w:t>厂家需充分熟悉图纸</w:t>
            </w:r>
            <w:bookmarkStart w:id="156" w:name="_GoBack"/>
            <w:bookmarkEnd w:id="156"/>
            <w:r>
              <w:rPr>
                <w:rFonts w:hint="eastAsia" w:asciiTheme="minorHAnsi" w:hAnsiTheme="minorHAnsi" w:eastAsiaTheme="minorEastAsia" w:cstheme="minorBidi"/>
                <w:kern w:val="2"/>
                <w:sz w:val="21"/>
                <w:szCs w:val="24"/>
                <w:highlight w:val="yellow"/>
                <w:lang w:val="en-US" w:eastAsia="zh-CN" w:bidi="ar-SA"/>
              </w:rPr>
              <w:t>、现场情况后报价，后期不能以</w:t>
            </w:r>
            <w:r>
              <w:rPr>
                <w:rFonts w:hint="eastAsia" w:cstheme="minorBidi"/>
                <w:kern w:val="2"/>
                <w:sz w:val="21"/>
                <w:szCs w:val="24"/>
                <w:highlight w:val="yellow"/>
                <w:lang w:val="en-US" w:eastAsia="zh-CN" w:bidi="ar-SA"/>
              </w:rPr>
              <w:t>其他</w:t>
            </w:r>
            <w:r>
              <w:rPr>
                <w:rFonts w:hint="eastAsia" w:asciiTheme="minorHAnsi" w:hAnsiTheme="minorHAnsi" w:eastAsiaTheme="minorEastAsia" w:cstheme="minorBidi"/>
                <w:kern w:val="2"/>
                <w:sz w:val="21"/>
                <w:szCs w:val="24"/>
                <w:highlight w:val="yellow"/>
                <w:lang w:val="en-US" w:eastAsia="zh-CN" w:bidi="ar-SA"/>
              </w:rPr>
              <w:t>情况要求增加费用。</w:t>
            </w:r>
          </w:p>
        </w:tc>
      </w:tr>
    </w:tbl>
    <w:p>
      <w:pPr>
        <w:rPr>
          <w:highlight w:val="none"/>
        </w:rPr>
      </w:pPr>
      <w:r>
        <w:rPr>
          <w:rFonts w:hint="eastAsia" w:ascii="Times New Roman" w:hAnsi="Times New Roman" w:cs="Times New Roman"/>
          <w:szCs w:val="21"/>
          <w:highlight w:val="none"/>
        </w:rPr>
        <w:t>注：供应商须知正文</w:t>
      </w:r>
      <w:r>
        <w:rPr>
          <w:rFonts w:ascii="Times New Roman" w:hAnsi="Times New Roman" w:cs="Times New Roman"/>
          <w:szCs w:val="21"/>
          <w:highlight w:val="none"/>
        </w:rPr>
        <w:t>与前附表</w:t>
      </w:r>
      <w:r>
        <w:rPr>
          <w:rFonts w:hint="eastAsia" w:ascii="Times New Roman" w:hAnsi="Times New Roman" w:cs="Times New Roman"/>
          <w:szCs w:val="21"/>
          <w:highlight w:val="none"/>
        </w:rPr>
        <w:t>内容</w:t>
      </w:r>
      <w:r>
        <w:rPr>
          <w:rFonts w:ascii="Times New Roman" w:hAnsi="Times New Roman" w:cs="Times New Roman"/>
          <w:szCs w:val="21"/>
          <w:highlight w:val="none"/>
        </w:rPr>
        <w:t>不一致</w:t>
      </w:r>
      <w:r>
        <w:rPr>
          <w:rFonts w:hint="eastAsia" w:ascii="Times New Roman" w:hAnsi="Times New Roman" w:cs="Times New Roman"/>
          <w:szCs w:val="21"/>
          <w:highlight w:val="none"/>
        </w:rPr>
        <w:t>时</w:t>
      </w:r>
      <w:r>
        <w:rPr>
          <w:rFonts w:ascii="Times New Roman" w:hAnsi="Times New Roman" w:cs="Times New Roman"/>
          <w:szCs w:val="21"/>
          <w:highlight w:val="none"/>
        </w:rPr>
        <w:t>，以供应商</w:t>
      </w:r>
      <w:r>
        <w:rPr>
          <w:rFonts w:hint="eastAsia" w:ascii="Times New Roman" w:hAnsi="Times New Roman" w:cs="Times New Roman"/>
          <w:szCs w:val="21"/>
          <w:highlight w:val="none"/>
        </w:rPr>
        <w:t>须知</w:t>
      </w:r>
      <w:r>
        <w:rPr>
          <w:rFonts w:ascii="Times New Roman" w:hAnsi="Times New Roman" w:cs="Times New Roman"/>
          <w:szCs w:val="21"/>
          <w:highlight w:val="none"/>
        </w:rPr>
        <w:t>前附表</w:t>
      </w:r>
      <w:r>
        <w:rPr>
          <w:rFonts w:hint="eastAsia" w:ascii="Times New Roman" w:hAnsi="Times New Roman" w:cs="Times New Roman"/>
          <w:szCs w:val="21"/>
          <w:highlight w:val="none"/>
        </w:rPr>
        <w:t>的</w:t>
      </w:r>
      <w:r>
        <w:rPr>
          <w:rFonts w:ascii="Times New Roman" w:hAnsi="Times New Roman" w:cs="Times New Roman"/>
          <w:szCs w:val="21"/>
          <w:highlight w:val="none"/>
        </w:rPr>
        <w:t>内容为准</w:t>
      </w:r>
      <w:r>
        <w:rPr>
          <w:rFonts w:hint="eastAsia" w:ascii="Times New Roman" w:hAnsi="Times New Roman" w:cs="Times New Roman"/>
          <w:szCs w:val="21"/>
          <w:highlight w:val="none"/>
        </w:rPr>
        <w:t>。</w:t>
      </w:r>
    </w:p>
    <w:p>
      <w:pPr>
        <w:rPr>
          <w:rFonts w:ascii="Times New Roman" w:hAnsi="Times New Roman" w:eastAsia="黑体" w:cs="Times New Roman"/>
          <w:bCs/>
          <w:sz w:val="24"/>
          <w:szCs w:val="32"/>
          <w:highlight w:val="none"/>
        </w:rPr>
      </w:pPr>
      <w:bookmarkStart w:id="50" w:name="_Toc26656938"/>
      <w:bookmarkStart w:id="51" w:name="_Toc14201207"/>
      <w:bookmarkStart w:id="52" w:name="_Toc9067720"/>
      <w:r>
        <w:rPr>
          <w:rFonts w:ascii="Times New Roman" w:hAnsi="Times New Roman" w:eastAsia="黑体" w:cs="Times New Roman"/>
          <w:bCs/>
          <w:sz w:val="24"/>
          <w:szCs w:val="32"/>
          <w:highlight w:val="none"/>
        </w:rPr>
        <w:br w:type="page"/>
      </w:r>
    </w:p>
    <w:p>
      <w:pPr>
        <w:jc w:val="center"/>
        <w:rPr>
          <w:highlight w:val="none"/>
        </w:rPr>
      </w:pPr>
      <w:r>
        <w:rPr>
          <w:rFonts w:hint="eastAsia" w:ascii="黑体" w:eastAsia="黑体"/>
          <w:sz w:val="24"/>
          <w:szCs w:val="24"/>
          <w:highlight w:val="none"/>
        </w:rPr>
        <w:t>附录1 资格审查条件（资质最低条件）</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2" w:type="dxa"/>
            <w:noWrap w:val="0"/>
            <w:vAlign w:val="center"/>
          </w:tcPr>
          <w:p>
            <w:pPr>
              <w:jc w:val="center"/>
              <w:rPr>
                <w:sz w:val="22"/>
                <w:szCs w:val="22"/>
                <w:highlight w:val="none"/>
              </w:rPr>
            </w:pPr>
            <w:r>
              <w:rPr>
                <w:rFonts w:hint="eastAsia"/>
                <w:sz w:val="22"/>
                <w:szCs w:val="22"/>
                <w:highlight w:val="none"/>
              </w:rPr>
              <w:t>企业资质等级要求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9072" w:type="dxa"/>
            <w:noWrap w:val="0"/>
            <w:vAlign w:val="center"/>
          </w:tcPr>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sz w:val="22"/>
                <w:szCs w:val="22"/>
                <w:highlight w:val="none"/>
              </w:rPr>
            </w:pPr>
            <w:r>
              <w:rPr>
                <w:rFonts w:hint="eastAsia"/>
                <w:sz w:val="21"/>
                <w:szCs w:val="21"/>
                <w:highlight w:val="none"/>
                <w:lang w:val="en-US" w:eastAsia="zh-CN"/>
              </w:rPr>
              <w:t>具备独立法人资格，持有有效的营业执照；制造商/厂家参与询比的，应具备有生产、销售采购人所需材料的能力;制造商的授权代理商参加询比的，应具备代理证书/品牌授权书，有生产、销售采购人所需材料的能力。</w:t>
            </w:r>
          </w:p>
        </w:tc>
      </w:tr>
    </w:tbl>
    <w:p>
      <w:pPr>
        <w:tabs>
          <w:tab w:val="left" w:pos="400"/>
        </w:tabs>
        <w:overflowPunct w:val="0"/>
        <w:adjustRightInd w:val="0"/>
        <w:snapToGrid w:val="0"/>
        <w:ind w:firstLine="480" w:firstLineChars="200"/>
        <w:rPr>
          <w:rFonts w:hint="eastAsia" w:ascii="华文楷体" w:hAnsi="华文楷体" w:eastAsia="华文楷体" w:cs="华文楷体"/>
          <w:sz w:val="24"/>
          <w:szCs w:val="24"/>
          <w:highlight w:val="none"/>
        </w:rPr>
      </w:pPr>
    </w:p>
    <w:p>
      <w:pPr>
        <w:pStyle w:val="7"/>
        <w:rPr>
          <w:rFonts w:hint="eastAsia"/>
          <w:highlight w:val="none"/>
        </w:rPr>
      </w:pPr>
    </w:p>
    <w:p>
      <w:pPr>
        <w:jc w:val="center"/>
        <w:rPr>
          <w:sz w:val="24"/>
          <w:szCs w:val="24"/>
          <w:highlight w:val="none"/>
        </w:rPr>
      </w:pPr>
      <w:r>
        <w:rPr>
          <w:rFonts w:hint="eastAsia" w:ascii="黑体" w:eastAsia="黑体"/>
          <w:sz w:val="24"/>
          <w:szCs w:val="24"/>
          <w:highlight w:val="none"/>
        </w:rPr>
        <w:t>附录</w:t>
      </w:r>
      <w:r>
        <w:rPr>
          <w:rFonts w:hint="eastAsia" w:eastAsia="黑体"/>
          <w:sz w:val="24"/>
          <w:szCs w:val="24"/>
          <w:highlight w:val="none"/>
        </w:rPr>
        <w:t>2</w:t>
      </w:r>
      <w:r>
        <w:rPr>
          <w:rFonts w:hint="eastAsia" w:ascii="黑体" w:eastAsia="黑体"/>
          <w:sz w:val="24"/>
          <w:szCs w:val="24"/>
          <w:highlight w:val="none"/>
        </w:rPr>
        <w:t xml:space="preserve"> 资格审查条件（业绩最低要求）</w:t>
      </w:r>
    </w:p>
    <w:tbl>
      <w:tblPr>
        <w:tblStyle w:val="21"/>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9072" w:type="dxa"/>
            <w:noWrap w:val="0"/>
            <w:vAlign w:val="center"/>
          </w:tcPr>
          <w:p>
            <w:pPr>
              <w:jc w:val="center"/>
              <w:rPr>
                <w:sz w:val="22"/>
                <w:szCs w:val="22"/>
                <w:highlight w:val="none"/>
              </w:rPr>
            </w:pPr>
            <w:r>
              <w:rPr>
                <w:rFonts w:hint="eastAsia"/>
                <w:sz w:val="22"/>
                <w:szCs w:val="22"/>
                <w:highlight w:val="none"/>
              </w:rPr>
              <w:t>业 绩 要 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9072" w:type="dxa"/>
            <w:noWrap w:val="0"/>
            <w:vAlign w:val="center"/>
          </w:tcPr>
          <w:p>
            <w:pPr>
              <w:snapToGrid w:val="0"/>
              <w:jc w:val="left"/>
              <w:rPr>
                <w:rFonts w:hAnsi="宋体"/>
                <w:sz w:val="22"/>
                <w:szCs w:val="22"/>
                <w:highlight w:val="none"/>
              </w:rPr>
            </w:pPr>
            <w:r>
              <w:rPr>
                <w:rFonts w:hint="eastAsia" w:hAnsi="宋体"/>
                <w:sz w:val="22"/>
                <w:szCs w:val="22"/>
                <w:highlight w:val="none"/>
              </w:rPr>
              <w:t xml:space="preserve"> </w:t>
            </w:r>
            <w:r>
              <w:rPr>
                <w:rFonts w:hint="eastAsia"/>
                <w:sz w:val="21"/>
                <w:szCs w:val="21"/>
                <w:highlight w:val="none"/>
                <w:lang w:val="en-US" w:eastAsia="zh-CN"/>
              </w:rPr>
              <w:t>自 2021年 1 月 1 日以来（以合同签订时间为准），投标人具有空气源热水供应系统设备的供货及安装业绩，且单个合同中空气源热水供应系统设备供货安装金额不少于 50 万元</w:t>
            </w:r>
            <w:r>
              <w:rPr>
                <w:rFonts w:hint="eastAsia" w:hAnsi="宋体"/>
                <w:sz w:val="22"/>
                <w:szCs w:val="22"/>
                <w:highlight w:val="none"/>
              </w:rPr>
              <w:t>。</w:t>
            </w:r>
          </w:p>
        </w:tc>
      </w:tr>
    </w:tbl>
    <w:p>
      <w:pPr>
        <w:bidi w:val="0"/>
        <w:rPr>
          <w:rFonts w:hint="eastAsia"/>
          <w:highlight w:val="none"/>
          <w:lang w:val="en-US" w:eastAsia="zh-CN"/>
        </w:rPr>
      </w:pPr>
      <w:r>
        <w:rPr>
          <w:rFonts w:hint="eastAsia"/>
          <w:highlight w:val="none"/>
          <w:lang w:val="en-US" w:eastAsia="zh-CN"/>
        </w:rPr>
        <w:t>业绩证明材料要求如下，否则业绩不予认可。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highlight w:val="none"/>
          <w:lang w:val="en-US" w:eastAsia="zh-CN"/>
        </w:rPr>
      </w:pPr>
      <w:r>
        <w:rPr>
          <w:rFonts w:hint="eastAsia"/>
          <w:highlight w:val="none"/>
          <w:lang w:val="en-US" w:eastAsia="zh-CN"/>
        </w:rPr>
        <w:t xml:space="preserve">①合同协议书扫描件；                                                                                                                                                                                                                                                                                                                                                                                                                                                                                                                                                                                                                                                                                                                                                                                                                                                                                                                                                                                                                                                                                                                                                                                                                                                                                                                                                                                                                                                                                                                                                                                                                                                                                                                                                                                                                                                                                                                                                                                                                                                                                                                                                                          </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②若合同协议书中不能明确反映出招标文件所要求内容的（如合同金额、合同签订时间、供货内容等），则须提供业主单位（甲方）出具加盖公章的证明材料扫描件。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highlight w:val="none"/>
          <w:lang w:val="en-US" w:eastAsia="zh-CN"/>
        </w:rPr>
      </w:pPr>
      <w:r>
        <w:rPr>
          <w:rFonts w:hint="eastAsia"/>
          <w:highlight w:val="none"/>
          <w:lang w:val="en-US" w:eastAsia="zh-CN"/>
        </w:rPr>
        <w:t>③若业绩合同中包含多项设备，则合同中应能体现资格要求中所需设备的内容和金额，无法体现的，须提供供货单据、供货发票、业主验收单等能证明相关评审因素的证明材料，否则业绩不与认可。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黑体" w:eastAsia="黑体"/>
          <w:bCs/>
          <w:szCs w:val="24"/>
          <w:highlight w:val="none"/>
        </w:rPr>
      </w:pPr>
      <w:r>
        <w:rPr>
          <w:rFonts w:hint="eastAsia"/>
          <w:highlight w:val="none"/>
          <w:lang w:val="en-US" w:eastAsia="zh-CN"/>
        </w:rPr>
        <w:t>④</w:t>
      </w:r>
      <w:r>
        <w:rPr>
          <w:rFonts w:hint="eastAsia"/>
          <w:highlight w:val="none"/>
        </w:rPr>
        <w:t>如近年来，投标人法人机构发生合法变更或重组或法人名称变更时，应提供相关部门的合法批件扫描件或其他相关证明材料扫描件来证明其所</w:t>
      </w:r>
      <w:r>
        <w:rPr>
          <w:rFonts w:hint="eastAsia"/>
          <w:szCs w:val="21"/>
          <w:highlight w:val="none"/>
        </w:rPr>
        <w:t>附业绩的继承性。</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黑体" w:eastAsia="黑体"/>
          <w:sz w:val="24"/>
          <w:szCs w:val="24"/>
          <w:highlight w:val="none"/>
        </w:rPr>
      </w:pPr>
    </w:p>
    <w:p>
      <w:pPr>
        <w:pStyle w:val="7"/>
        <w:rPr>
          <w:rFonts w:hint="eastAsia"/>
          <w:highlight w:val="none"/>
        </w:rPr>
      </w:pPr>
    </w:p>
    <w:p>
      <w:pPr>
        <w:jc w:val="center"/>
        <w:rPr>
          <w:sz w:val="24"/>
          <w:szCs w:val="24"/>
          <w:highlight w:val="none"/>
        </w:rPr>
      </w:pPr>
      <w:r>
        <w:rPr>
          <w:rFonts w:hint="eastAsia" w:ascii="黑体" w:eastAsia="黑体"/>
          <w:sz w:val="24"/>
          <w:szCs w:val="24"/>
          <w:highlight w:val="none"/>
        </w:rPr>
        <w:t>附录</w:t>
      </w:r>
      <w:r>
        <w:rPr>
          <w:rFonts w:hint="eastAsia" w:eastAsia="黑体"/>
          <w:sz w:val="24"/>
          <w:szCs w:val="24"/>
          <w:highlight w:val="none"/>
          <w:lang w:val="en-US" w:eastAsia="zh-CN"/>
        </w:rPr>
        <w:t>3</w:t>
      </w:r>
      <w:r>
        <w:rPr>
          <w:rFonts w:hint="eastAsia" w:ascii="黑体" w:eastAsia="黑体"/>
          <w:sz w:val="24"/>
          <w:szCs w:val="24"/>
          <w:highlight w:val="none"/>
        </w:rPr>
        <w:t>资格审查条件（信誉最低要求）</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blHeader/>
          <w:jc w:val="center"/>
        </w:trPr>
        <w:tc>
          <w:tcPr>
            <w:tcW w:w="9072" w:type="dxa"/>
            <w:noWrap w:val="0"/>
            <w:vAlign w:val="center"/>
          </w:tcPr>
          <w:p>
            <w:pPr>
              <w:jc w:val="center"/>
              <w:rPr>
                <w:sz w:val="22"/>
                <w:szCs w:val="22"/>
                <w:highlight w:val="none"/>
              </w:rPr>
            </w:pPr>
            <w:r>
              <w:rPr>
                <w:rFonts w:hint="eastAsia"/>
                <w:sz w:val="22"/>
                <w:szCs w:val="22"/>
                <w:highlight w:val="none"/>
              </w:rPr>
              <w:t>信 誉 要 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9072" w:type="dxa"/>
            <w:noWrap w:val="0"/>
            <w:vAlign w:val="center"/>
          </w:tcPr>
          <w:p>
            <w:pPr>
              <w:spacing w:line="276" w:lineRule="auto"/>
              <w:ind w:firstLine="210" w:firstLineChars="100"/>
              <w:jc w:val="left"/>
              <w:rPr>
                <w:rFonts w:hint="eastAsia"/>
                <w:highlight w:val="none"/>
              </w:rPr>
            </w:pPr>
            <w:r>
              <w:rPr>
                <w:rFonts w:hint="eastAsia"/>
                <w:highlight w:val="none"/>
              </w:rPr>
              <w:t>1.投标人、法定代表人近三年内无行贿犯罪行为。</w:t>
            </w:r>
          </w:p>
          <w:p>
            <w:pPr>
              <w:spacing w:line="276" w:lineRule="auto"/>
              <w:ind w:firstLine="210" w:firstLineChars="100"/>
              <w:jc w:val="left"/>
              <w:rPr>
                <w:rFonts w:hint="eastAsia"/>
                <w:highlight w:val="none"/>
              </w:rPr>
            </w:pPr>
            <w:r>
              <w:rPr>
                <w:rFonts w:hint="eastAsia"/>
                <w:highlight w:val="none"/>
              </w:rPr>
              <w:t>2.投标人未被人民法院列入失信被执行人（</w:t>
            </w:r>
            <w:r>
              <w:rPr>
                <w:rFonts w:hint="eastAsia"/>
                <w:b/>
                <w:bCs/>
                <w:highlight w:val="none"/>
              </w:rPr>
              <w:t>以“信用中国”官网http://www.creditchina.gov.cn查询为准</w:t>
            </w:r>
            <w:r>
              <w:rPr>
                <w:rFonts w:hint="eastAsia"/>
                <w:highlight w:val="none"/>
              </w:rPr>
              <w:t>）。</w:t>
            </w:r>
          </w:p>
          <w:p>
            <w:pPr>
              <w:spacing w:line="276" w:lineRule="auto"/>
              <w:ind w:firstLine="210" w:firstLineChars="100"/>
              <w:jc w:val="left"/>
              <w:rPr>
                <w:rFonts w:hint="eastAsia"/>
                <w:highlight w:val="none"/>
              </w:rPr>
            </w:pPr>
            <w:r>
              <w:rPr>
                <w:rFonts w:hint="eastAsia"/>
                <w:highlight w:val="none"/>
              </w:rPr>
              <w:t>3投标人没有正受到责令停业，暂扣或吊销执照，或吊销资质证书。</w:t>
            </w:r>
          </w:p>
          <w:p>
            <w:pPr>
              <w:spacing w:line="276" w:lineRule="auto"/>
              <w:ind w:firstLine="210" w:firstLineChars="100"/>
              <w:jc w:val="left"/>
              <w:rPr>
                <w:rFonts w:hint="eastAsia"/>
                <w:highlight w:val="none"/>
              </w:rPr>
            </w:pPr>
            <w:r>
              <w:rPr>
                <w:rFonts w:hint="eastAsia"/>
                <w:highlight w:val="none"/>
                <w:lang w:val="en-US" w:eastAsia="zh-CN"/>
              </w:rPr>
              <w:t>4</w:t>
            </w:r>
            <w:r>
              <w:rPr>
                <w:rFonts w:hint="eastAsia"/>
                <w:highlight w:val="none"/>
              </w:rPr>
              <w:t>.没有进入清算程序，或被宣告破产，或其他丧失履约能力的情形。</w:t>
            </w:r>
          </w:p>
          <w:p>
            <w:pPr>
              <w:spacing w:line="276" w:lineRule="auto"/>
              <w:ind w:firstLine="210" w:firstLineChars="100"/>
              <w:jc w:val="left"/>
              <w:rPr>
                <w:rFonts w:hint="eastAsia"/>
                <w:highlight w:val="none"/>
              </w:rPr>
            </w:pPr>
            <w:r>
              <w:rPr>
                <w:rFonts w:hint="eastAsia"/>
                <w:highlight w:val="none"/>
                <w:lang w:val="en-US" w:eastAsia="zh-CN"/>
              </w:rPr>
              <w:t>5</w:t>
            </w:r>
            <w:r>
              <w:rPr>
                <w:rFonts w:hint="eastAsia"/>
                <w:highlight w:val="none"/>
              </w:rPr>
              <w:t>.没有在国家企业信用信息公示系统</w:t>
            </w:r>
            <w:r>
              <w:rPr>
                <w:rFonts w:hint="eastAsia"/>
                <w:b/>
                <w:bCs/>
                <w:highlight w:val="none"/>
              </w:rPr>
              <w:t>（http://www.gsxt.gov.cn）</w:t>
            </w:r>
            <w:r>
              <w:rPr>
                <w:rFonts w:hint="eastAsia"/>
                <w:highlight w:val="none"/>
              </w:rPr>
              <w:t>中被列入严重违法失信企业名单。</w:t>
            </w:r>
          </w:p>
          <w:p>
            <w:pPr>
              <w:spacing w:line="276" w:lineRule="auto"/>
              <w:ind w:firstLine="210" w:firstLineChars="100"/>
              <w:jc w:val="left"/>
              <w:rPr>
                <w:rFonts w:hint="eastAsia"/>
                <w:highlight w:val="none"/>
              </w:rPr>
            </w:pPr>
            <w:r>
              <w:rPr>
                <w:rFonts w:hint="eastAsia"/>
                <w:highlight w:val="none"/>
                <w:lang w:val="en-US" w:eastAsia="zh-CN"/>
              </w:rPr>
              <w:t>6</w:t>
            </w:r>
            <w:r>
              <w:rPr>
                <w:rFonts w:hint="eastAsia"/>
                <w:highlight w:val="none"/>
              </w:rPr>
              <w:t>.没有法律法规规定的其他情形。</w:t>
            </w:r>
          </w:p>
          <w:p>
            <w:pPr>
              <w:pStyle w:val="28"/>
              <w:rPr>
                <w:rFonts w:hint="eastAsia"/>
                <w:highlight w:val="none"/>
              </w:rPr>
            </w:pPr>
          </w:p>
        </w:tc>
      </w:tr>
    </w:tbl>
    <w:p>
      <w:pPr>
        <w:pStyle w:val="28"/>
        <w:rPr>
          <w:rFonts w:ascii="Times New Roman" w:hAnsi="Times New Roman" w:eastAsia="黑体" w:cs="Times New Roman"/>
          <w:bCs/>
          <w:sz w:val="24"/>
          <w:szCs w:val="32"/>
          <w:highlight w:val="none"/>
        </w:rPr>
      </w:pPr>
    </w:p>
    <w:p>
      <w:pPr>
        <w:keepNext/>
        <w:keepLines/>
        <w:spacing w:before="156" w:beforeLines="50" w:after="156" w:afterLines="50" w:line="360" w:lineRule="auto"/>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1. 总则</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1.1 质量要求</w:t>
      </w:r>
    </w:p>
    <w:p>
      <w:pPr>
        <w:spacing w:line="440" w:lineRule="exact"/>
        <w:ind w:firstLine="420"/>
        <w:rPr>
          <w:rFonts w:ascii="Times New Roman" w:hAnsi="Times New Roman" w:cs="Times New Roman"/>
          <w:szCs w:val="21"/>
          <w:highlight w:val="none"/>
        </w:rPr>
      </w:pPr>
      <w:r>
        <w:rPr>
          <w:rFonts w:ascii="Times New Roman" w:hAnsi="Times New Roman" w:cs="Times New Roman"/>
          <w:szCs w:val="21"/>
          <w:highlight w:val="none"/>
        </w:rPr>
        <w:t>本合同包的质量要求：</w:t>
      </w:r>
      <w:r>
        <w:rPr>
          <w:rFonts w:hint="eastAsia" w:ascii="Times New Roman" w:hAnsi="Times New Roman" w:cs="Times New Roman"/>
          <w:szCs w:val="21"/>
          <w:highlight w:val="none"/>
        </w:rPr>
        <w:t>见供应商须知前附表。</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2</w:t>
      </w:r>
      <w:r>
        <w:rPr>
          <w:rFonts w:ascii="Times New Roman" w:hAnsi="Times New Roman" w:eastAsia="黑体" w:cs="Times New Roman"/>
          <w:bCs/>
          <w:sz w:val="24"/>
          <w:szCs w:val="32"/>
          <w:highlight w:val="none"/>
        </w:rPr>
        <w:t xml:space="preserve"> 供应商资格要求</w:t>
      </w:r>
    </w:p>
    <w:p>
      <w:pPr>
        <w:spacing w:line="440" w:lineRule="exact"/>
        <w:ind w:firstLine="420"/>
        <w:rPr>
          <w:rFonts w:ascii="Times New Roman" w:hAnsi="Times New Roman" w:cs="Times New Roman"/>
          <w:szCs w:val="21"/>
          <w:highlight w:val="none"/>
        </w:rPr>
      </w:pPr>
      <w:r>
        <w:rPr>
          <w:rFonts w:ascii="Times New Roman" w:hAnsi="Times New Roman" w:cs="Times New Roman"/>
          <w:szCs w:val="21"/>
          <w:highlight w:val="none"/>
        </w:rPr>
        <w:t>1.</w:t>
      </w:r>
      <w:r>
        <w:rPr>
          <w:rFonts w:hint="eastAsia" w:ascii="Times New Roman" w:hAnsi="Times New Roman" w:cs="Times New Roman"/>
          <w:szCs w:val="21"/>
          <w:highlight w:val="none"/>
        </w:rPr>
        <w:t>2</w:t>
      </w:r>
      <w:r>
        <w:rPr>
          <w:rFonts w:ascii="Times New Roman" w:hAnsi="Times New Roman" w:cs="Times New Roman"/>
          <w:szCs w:val="21"/>
          <w:highlight w:val="none"/>
        </w:rPr>
        <w:t>.1</w:t>
      </w:r>
      <w:r>
        <w:rPr>
          <w:rFonts w:hint="eastAsia" w:ascii="Times New Roman" w:hAnsi="Times New Roman" w:cs="Times New Roman"/>
          <w:szCs w:val="21"/>
          <w:highlight w:val="none"/>
        </w:rPr>
        <w:t xml:space="preserve"> </w:t>
      </w:r>
      <w:r>
        <w:rPr>
          <w:rFonts w:ascii="Times New Roman" w:hAnsi="Times New Roman" w:cs="Times New Roman"/>
          <w:szCs w:val="21"/>
          <w:highlight w:val="none"/>
        </w:rPr>
        <w:t>供应商应具备承担本合同包</w:t>
      </w:r>
      <w:r>
        <w:rPr>
          <w:rFonts w:hint="eastAsia" w:ascii="Times New Roman" w:hAnsi="Times New Roman" w:cs="Times New Roman"/>
          <w:szCs w:val="21"/>
          <w:highlight w:val="none"/>
          <w:lang w:val="en-US" w:eastAsia="zh-CN"/>
        </w:rPr>
        <w:t>供货</w:t>
      </w:r>
      <w:r>
        <w:rPr>
          <w:rFonts w:ascii="Times New Roman" w:hAnsi="Times New Roman" w:cs="Times New Roman"/>
          <w:szCs w:val="21"/>
          <w:highlight w:val="none"/>
        </w:rPr>
        <w:t xml:space="preserve">的资质条件、能力和信誉：见第一章 </w:t>
      </w:r>
      <w:r>
        <w:rPr>
          <w:rFonts w:hint="eastAsia" w:ascii="Times New Roman" w:hAnsi="Times New Roman" w:cs="Times New Roman"/>
          <w:szCs w:val="21"/>
          <w:highlight w:val="none"/>
        </w:rPr>
        <w:t>采购公告</w:t>
      </w:r>
      <w:r>
        <w:rPr>
          <w:rFonts w:ascii="Times New Roman" w:hAnsi="Times New Roman" w:cs="Times New Roman"/>
          <w:szCs w:val="21"/>
          <w:highlight w:val="none"/>
        </w:rPr>
        <w:t>/</w:t>
      </w:r>
      <w:r>
        <w:rPr>
          <w:rFonts w:hint="eastAsia" w:ascii="Times New Roman" w:hAnsi="Times New Roman" w:cs="Times New Roman"/>
          <w:szCs w:val="21"/>
          <w:highlight w:val="none"/>
        </w:rPr>
        <w:t>采购邀请书第3.1款要求</w:t>
      </w:r>
      <w:r>
        <w:rPr>
          <w:rFonts w:ascii="Times New Roman" w:hAnsi="Times New Roman" w:cs="Times New Roman"/>
          <w:szCs w:val="21"/>
          <w:highlight w:val="none"/>
        </w:rPr>
        <w:t>。</w:t>
      </w:r>
    </w:p>
    <w:p>
      <w:pPr>
        <w:spacing w:line="440" w:lineRule="exact"/>
        <w:ind w:firstLine="420"/>
        <w:rPr>
          <w:rFonts w:ascii="Times New Roman" w:hAnsi="Times New Roman" w:cs="Times New Roman"/>
          <w:szCs w:val="21"/>
          <w:highlight w:val="none"/>
        </w:rPr>
      </w:pPr>
      <w:r>
        <w:rPr>
          <w:rFonts w:ascii="Times New Roman" w:hAnsi="Times New Roman" w:cs="Times New Roman"/>
          <w:szCs w:val="21"/>
          <w:highlight w:val="none"/>
        </w:rPr>
        <w:t>1.</w:t>
      </w:r>
      <w:r>
        <w:rPr>
          <w:rFonts w:hint="eastAsia" w:ascii="Times New Roman" w:hAnsi="Times New Roman" w:cs="Times New Roman"/>
          <w:szCs w:val="21"/>
          <w:highlight w:val="none"/>
        </w:rPr>
        <w:t>2</w:t>
      </w:r>
      <w:r>
        <w:rPr>
          <w:rFonts w:ascii="Times New Roman" w:hAnsi="Times New Roman" w:cs="Times New Roman"/>
          <w:szCs w:val="21"/>
          <w:highlight w:val="none"/>
        </w:rPr>
        <w:t>.</w:t>
      </w:r>
      <w:r>
        <w:rPr>
          <w:rFonts w:hint="eastAsia" w:ascii="Times New Roman" w:hAnsi="Times New Roman" w:cs="Times New Roman"/>
          <w:szCs w:val="21"/>
          <w:highlight w:val="none"/>
        </w:rPr>
        <w:t>2</w:t>
      </w:r>
      <w:r>
        <w:rPr>
          <w:rFonts w:ascii="Times New Roman" w:hAnsi="Times New Roman" w:cs="Times New Roman"/>
          <w:szCs w:val="21"/>
          <w:highlight w:val="none"/>
        </w:rPr>
        <w:t xml:space="preserve"> 其他</w:t>
      </w:r>
      <w:r>
        <w:rPr>
          <w:rFonts w:hint="eastAsia" w:ascii="Times New Roman" w:hAnsi="Times New Roman" w:cs="Times New Roman"/>
          <w:szCs w:val="21"/>
          <w:highlight w:val="none"/>
        </w:rPr>
        <w:t>要求：见供应商须知前附表</w:t>
      </w:r>
      <w:r>
        <w:rPr>
          <w:rFonts w:ascii="Times New Roman" w:hAnsi="Times New Roman" w:cs="Times New Roman"/>
          <w:szCs w:val="21"/>
          <w:highlight w:val="none"/>
        </w:rPr>
        <w:t>。</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3</w:t>
      </w:r>
      <w:r>
        <w:rPr>
          <w:rFonts w:ascii="Times New Roman" w:hAnsi="Times New Roman" w:eastAsia="黑体" w:cs="Times New Roman"/>
          <w:bCs/>
          <w:sz w:val="24"/>
          <w:szCs w:val="32"/>
          <w:highlight w:val="none"/>
        </w:rPr>
        <w:t xml:space="preserve"> 费用承担</w:t>
      </w:r>
    </w:p>
    <w:p>
      <w:pPr>
        <w:spacing w:line="440" w:lineRule="exact"/>
        <w:ind w:firstLine="420"/>
        <w:rPr>
          <w:rFonts w:hint="eastAsia" w:ascii="Times New Roman" w:hAnsi="Times New Roman" w:cs="Times New Roman"/>
          <w:szCs w:val="21"/>
          <w:highlight w:val="none"/>
        </w:rPr>
      </w:pPr>
      <w:r>
        <w:rPr>
          <w:rFonts w:hint="eastAsia" w:ascii="Times New Roman" w:hAnsi="Times New Roman" w:cs="Times New Roman"/>
          <w:szCs w:val="21"/>
          <w:highlight w:val="none"/>
        </w:rPr>
        <w:t>供应商准备和参加询比活动发生的费用自理。</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4</w:t>
      </w:r>
      <w:r>
        <w:rPr>
          <w:rFonts w:ascii="Times New Roman" w:hAnsi="Times New Roman" w:eastAsia="黑体" w:cs="Times New Roman"/>
          <w:bCs/>
          <w:sz w:val="24"/>
          <w:szCs w:val="32"/>
          <w:highlight w:val="none"/>
        </w:rPr>
        <w:t xml:space="preserve"> 保密</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ascii="Times New Roman" w:hAnsi="Times New Roman" w:cs="Times New Roman"/>
          <w:highlight w:val="none"/>
        </w:rPr>
      </w:pPr>
      <w:r>
        <w:rPr>
          <w:rFonts w:ascii="Times New Roman" w:hAnsi="Times New Roman" w:cs="Times New Roman"/>
          <w:highlight w:val="none"/>
        </w:rPr>
        <w:t>参与询比活动的各方应对询比文件和响应文件中的商业和技术等秘密保密，否则应承担相应的法律责任。</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5</w:t>
      </w:r>
      <w:r>
        <w:rPr>
          <w:rFonts w:ascii="Times New Roman" w:hAnsi="Times New Roman" w:eastAsia="黑体" w:cs="Times New Roman"/>
          <w:bCs/>
          <w:sz w:val="24"/>
          <w:szCs w:val="32"/>
          <w:highlight w:val="none"/>
        </w:rPr>
        <w:t xml:space="preserve"> 计量单位</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所有计量均采用中华人民共和国法定计量单位。</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6</w:t>
      </w:r>
      <w:r>
        <w:rPr>
          <w:rFonts w:ascii="Times New Roman" w:hAnsi="Times New Roman" w:eastAsia="黑体" w:cs="Times New Roman"/>
          <w:bCs/>
          <w:sz w:val="24"/>
          <w:szCs w:val="32"/>
          <w:highlight w:val="none"/>
        </w:rPr>
        <w:t xml:space="preserve"> 踏勘现场</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供应商</w:t>
      </w:r>
      <w:r>
        <w:rPr>
          <w:rFonts w:hint="eastAsia" w:ascii="Times New Roman" w:hAnsi="Times New Roman" w:cs="Times New Roman"/>
          <w:highlight w:val="none"/>
        </w:rPr>
        <w:t>自行</w:t>
      </w:r>
      <w:r>
        <w:rPr>
          <w:rFonts w:ascii="Times New Roman" w:hAnsi="Times New Roman" w:cs="Times New Roman"/>
          <w:highlight w:val="none"/>
        </w:rPr>
        <w:t>踏勘现场</w:t>
      </w:r>
      <w:r>
        <w:rPr>
          <w:rFonts w:hint="eastAsia" w:ascii="Times New Roman" w:hAnsi="Times New Roman" w:cs="Times New Roman"/>
          <w:highlight w:val="none"/>
        </w:rPr>
        <w:t>且</w:t>
      </w:r>
      <w:r>
        <w:rPr>
          <w:rFonts w:ascii="Times New Roman" w:hAnsi="Times New Roman" w:cs="Times New Roman"/>
          <w:highlight w:val="none"/>
        </w:rPr>
        <w:t>费用自理。</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7</w:t>
      </w:r>
      <w:r>
        <w:rPr>
          <w:rFonts w:ascii="Times New Roman" w:hAnsi="Times New Roman" w:eastAsia="黑体" w:cs="Times New Roman"/>
          <w:bCs/>
          <w:sz w:val="24"/>
          <w:szCs w:val="32"/>
          <w:highlight w:val="none"/>
        </w:rPr>
        <w:t xml:space="preserve"> 分包</w:t>
      </w:r>
    </w:p>
    <w:p>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不允许分包。</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8</w:t>
      </w:r>
      <w:r>
        <w:rPr>
          <w:rFonts w:ascii="Times New Roman" w:hAnsi="Times New Roman" w:eastAsia="黑体" w:cs="Times New Roman"/>
          <w:bCs/>
          <w:sz w:val="24"/>
          <w:szCs w:val="32"/>
          <w:highlight w:val="none"/>
        </w:rPr>
        <w:t xml:space="preserve"> 偏</w:t>
      </w:r>
      <w:r>
        <w:rPr>
          <w:rFonts w:hint="eastAsia" w:ascii="Times New Roman" w:hAnsi="Times New Roman" w:eastAsia="黑体" w:cs="Times New Roman"/>
          <w:bCs/>
          <w:sz w:val="24"/>
          <w:szCs w:val="32"/>
          <w:highlight w:val="none"/>
        </w:rPr>
        <w:t>差</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Times New Roman" w:hAnsi="Times New Roman" w:cs="Times New Roman"/>
          <w:highlight w:val="none"/>
        </w:rPr>
        <w:t>8</w:t>
      </w:r>
      <w:r>
        <w:rPr>
          <w:rFonts w:ascii="Times New Roman" w:hAnsi="Times New Roman" w:cs="Times New Roman"/>
          <w:highlight w:val="none"/>
        </w:rPr>
        <w:t>.1</w:t>
      </w:r>
      <w:r>
        <w:rPr>
          <w:rFonts w:hint="eastAsia" w:ascii="Times New Roman" w:hAnsi="Times New Roman" w:cs="Times New Roman"/>
          <w:highlight w:val="none"/>
        </w:rPr>
        <w:t xml:space="preserve"> </w:t>
      </w:r>
      <w:r>
        <w:rPr>
          <w:rFonts w:ascii="Times New Roman" w:hAnsi="Times New Roman" w:cs="Times New Roman"/>
          <w:highlight w:val="none"/>
        </w:rPr>
        <w:t>偏差包括重大偏差和细微偏差。</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Times New Roman" w:hAnsi="Times New Roman" w:cs="Times New Roman"/>
          <w:highlight w:val="none"/>
        </w:rPr>
        <w:t>8</w:t>
      </w:r>
      <w:r>
        <w:rPr>
          <w:rFonts w:ascii="Times New Roman" w:hAnsi="Times New Roman" w:cs="Times New Roman"/>
          <w:highlight w:val="none"/>
        </w:rPr>
        <w:t>.2 响应文件存在第三章“评审办法”中所列任一否决</w:t>
      </w:r>
      <w:r>
        <w:rPr>
          <w:rFonts w:hint="eastAsia" w:ascii="Times New Roman" w:hAnsi="Times New Roman" w:cs="Times New Roman"/>
          <w:highlight w:val="none"/>
        </w:rPr>
        <w:t>响应文件</w:t>
      </w:r>
      <w:r>
        <w:rPr>
          <w:rFonts w:ascii="Times New Roman" w:hAnsi="Times New Roman" w:cs="Times New Roman"/>
          <w:highlight w:val="none"/>
        </w:rPr>
        <w:t>情形的，均属于存在重大偏差</w:t>
      </w:r>
      <w:r>
        <w:rPr>
          <w:rFonts w:hint="eastAsia" w:ascii="Times New Roman" w:hAnsi="Times New Roman" w:cs="Times New Roman"/>
          <w:highlight w:val="none"/>
        </w:rPr>
        <w:t>，响应文件将被否决</w:t>
      </w:r>
      <w:r>
        <w:rPr>
          <w:rFonts w:ascii="Times New Roman" w:hAnsi="Times New Roman" w:cs="Times New Roman"/>
          <w:highlight w:val="none"/>
        </w:rPr>
        <w:t>。</w:t>
      </w:r>
    </w:p>
    <w:p>
      <w:pPr>
        <w:keepNext/>
        <w:keepLines/>
        <w:spacing w:before="156" w:beforeLines="50" w:after="156" w:afterLines="50"/>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2. 询比文件</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2.1 询比文件的组成</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本询比文件包括：</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Times New Roman" w:hAnsi="Times New Roman" w:cs="Times New Roman"/>
          <w:highlight w:val="none"/>
        </w:rPr>
        <w:t>采购公告</w:t>
      </w:r>
      <w:r>
        <w:rPr>
          <w:rFonts w:ascii="Times New Roman" w:hAnsi="Times New Roman" w:cs="Times New Roman"/>
          <w:highlight w:val="none"/>
        </w:rPr>
        <w:t>/</w:t>
      </w:r>
      <w:r>
        <w:rPr>
          <w:rFonts w:hint="eastAsia" w:ascii="Times New Roman" w:hAnsi="Times New Roman" w:cs="Times New Roman"/>
          <w:highlight w:val="none"/>
        </w:rPr>
        <w:t>采购邀请书</w:t>
      </w:r>
      <w:r>
        <w:rPr>
          <w:rFonts w:ascii="Times New Roman" w:hAnsi="Times New Roman" w:cs="Times New Roman"/>
          <w:highlight w:val="none"/>
        </w:rPr>
        <w:t>；</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（2）供应商须知；</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（3）评审办法；</w:t>
      </w:r>
    </w:p>
    <w:p>
      <w:pPr>
        <w:spacing w:line="440" w:lineRule="exact"/>
        <w:ind w:firstLine="420"/>
        <w:rPr>
          <w:rFonts w:hint="eastAsia" w:ascii="Times New Roman" w:hAnsi="Times New Roman" w:eastAsia="宋体" w:cs="Times New Roman"/>
          <w:highlight w:val="none"/>
          <w:lang w:eastAsia="zh-CN"/>
        </w:rPr>
      </w:pPr>
      <w:r>
        <w:rPr>
          <w:rFonts w:ascii="Times New Roman" w:hAnsi="Times New Roman" w:cs="Times New Roman"/>
          <w:highlight w:val="none"/>
        </w:rPr>
        <w:t>（4）合同内容</w:t>
      </w:r>
      <w:r>
        <w:rPr>
          <w:rFonts w:hint="eastAsia" w:ascii="Times New Roman" w:hAnsi="Times New Roman" w:eastAsia="宋体" w:cs="Times New Roman"/>
          <w:highlight w:val="none"/>
          <w:lang w:eastAsia="zh-CN"/>
        </w:rPr>
        <w:t>；</w:t>
      </w:r>
    </w:p>
    <w:p>
      <w:pPr>
        <w:spacing w:line="440" w:lineRule="exact"/>
        <w:ind w:firstLine="420"/>
        <w:rPr>
          <w:rFonts w:ascii="Times New Roman" w:hAnsi="Times New Roman" w:cs="Times New Roman"/>
          <w:highlight w:val="none"/>
        </w:rPr>
      </w:pP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5</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rPr>
        <w:t>供货要求</w:t>
      </w:r>
      <w:r>
        <w:rPr>
          <w:rFonts w:ascii="Times New Roman" w:hAnsi="Times New Roman" w:cs="Times New Roman"/>
          <w:highlight w:val="none"/>
        </w:rPr>
        <w:t>；</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lang w:val="en-US" w:eastAsia="zh-CN"/>
        </w:rPr>
        <w:t>6</w:t>
      </w:r>
      <w:r>
        <w:rPr>
          <w:rFonts w:ascii="Times New Roman" w:hAnsi="Times New Roman" w:cs="Times New Roman"/>
          <w:highlight w:val="none"/>
        </w:rPr>
        <w:t>）采购需求及清单；</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lang w:val="en-US" w:eastAsia="zh-CN"/>
        </w:rPr>
        <w:t>7</w:t>
      </w:r>
      <w:r>
        <w:rPr>
          <w:rFonts w:ascii="Times New Roman" w:hAnsi="Times New Roman" w:cs="Times New Roman"/>
          <w:highlight w:val="none"/>
        </w:rPr>
        <w:t>）响应文件格式</w:t>
      </w:r>
      <w:r>
        <w:rPr>
          <w:rFonts w:hint="eastAsia" w:ascii="Times New Roman" w:hAnsi="Times New Roman" w:cs="Times New Roman"/>
          <w:highlight w:val="none"/>
        </w:rPr>
        <w:t>。</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根据本章第2.2款对询比文件所作的澄清、修改，构成询比文件的组成部分。</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当询比文件、询比文件的澄清或修改等在同一内容的表述上不一致时，以最后发出的书面文件为准。</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2.2 询比文件的澄清</w:t>
      </w:r>
      <w:r>
        <w:rPr>
          <w:rFonts w:hint="eastAsia" w:ascii="Times New Roman" w:hAnsi="Times New Roman" w:eastAsia="黑体" w:cs="Times New Roman"/>
          <w:bCs/>
          <w:sz w:val="24"/>
          <w:szCs w:val="32"/>
          <w:highlight w:val="none"/>
        </w:rPr>
        <w:t>与修改</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2.2.1</w:t>
      </w:r>
      <w:r>
        <w:rPr>
          <w:rFonts w:hint="eastAsia" w:ascii="Times New Roman" w:hAnsi="Times New Roman" w:cs="Times New Roman"/>
          <w:highlight w:val="none"/>
        </w:rPr>
        <w:t xml:space="preserve"> </w:t>
      </w:r>
      <w:r>
        <w:rPr>
          <w:rFonts w:ascii="Times New Roman" w:hAnsi="Times New Roman" w:cs="Times New Roman"/>
          <w:highlight w:val="none"/>
        </w:rPr>
        <w:t>供应商如有疑问，应在递交</w:t>
      </w:r>
      <w:r>
        <w:rPr>
          <w:rFonts w:hint="eastAsia" w:ascii="Times New Roman" w:hAnsi="Times New Roman" w:cs="Times New Roman"/>
          <w:highlight w:val="none"/>
        </w:rPr>
        <w:t>响应</w:t>
      </w:r>
      <w:r>
        <w:rPr>
          <w:rFonts w:ascii="Times New Roman" w:hAnsi="Times New Roman" w:cs="Times New Roman"/>
          <w:highlight w:val="none"/>
        </w:rPr>
        <w:t>文件的截止时间</w:t>
      </w:r>
      <w:r>
        <w:rPr>
          <w:rFonts w:hint="eastAsia" w:ascii="Times New Roman" w:hAnsi="Times New Roman" w:cs="Times New Roman"/>
          <w:highlight w:val="none"/>
        </w:rPr>
        <w:t>前3日</w:t>
      </w:r>
      <w:r>
        <w:rPr>
          <w:rFonts w:ascii="Times New Roman" w:hAnsi="Times New Roman" w:cs="Times New Roman"/>
          <w:highlight w:val="none"/>
        </w:rPr>
        <w:t>前</w:t>
      </w:r>
      <w:r>
        <w:rPr>
          <w:rFonts w:hint="eastAsia" w:ascii="Times New Roman" w:hAnsi="Times New Roman" w:cs="Times New Roman"/>
          <w:highlight w:val="none"/>
        </w:rPr>
        <w:t>通过</w:t>
      </w:r>
      <w:r>
        <w:rPr>
          <w:rFonts w:hint="eastAsia" w:ascii="Times New Roman" w:hAnsi="Times New Roman" w:cs="Times New Roman"/>
          <w:highlight w:val="none"/>
          <w:lang w:eastAsia="zh-CN"/>
        </w:rPr>
        <w:t>“安徽交控建设工程集团有限公司</w:t>
      </w:r>
      <w:r>
        <w:rPr>
          <w:rFonts w:hint="eastAsia" w:ascii="Times New Roman" w:hAnsi="Times New Roman" w:cs="Times New Roman"/>
          <w:highlight w:val="none"/>
          <w:lang w:val="en-US" w:eastAsia="zh-CN"/>
        </w:rPr>
        <w:t>”官网平台联系采购人</w:t>
      </w:r>
      <w:r>
        <w:rPr>
          <w:rFonts w:ascii="Times New Roman" w:hAnsi="Times New Roman" w:cs="Times New Roman"/>
          <w:highlight w:val="none"/>
        </w:rPr>
        <w:t>对询比文件予以澄清</w:t>
      </w:r>
      <w:r>
        <w:rPr>
          <w:rFonts w:hint="eastAsia" w:ascii="Times New Roman" w:hAnsi="Times New Roman" w:cs="Times New Roman"/>
          <w:highlight w:val="none"/>
        </w:rPr>
        <w:t>或修改</w:t>
      </w:r>
      <w:r>
        <w:rPr>
          <w:rFonts w:ascii="Times New Roman" w:hAnsi="Times New Roman" w:cs="Times New Roman"/>
          <w:highlight w:val="none"/>
        </w:rPr>
        <w:t>。</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2.2.</w:t>
      </w:r>
      <w:r>
        <w:rPr>
          <w:rFonts w:hint="eastAsia" w:ascii="Times New Roman" w:hAnsi="Times New Roman" w:cs="Times New Roman"/>
          <w:highlight w:val="none"/>
        </w:rPr>
        <w:t>2</w:t>
      </w:r>
      <w:r>
        <w:rPr>
          <w:rFonts w:ascii="Times New Roman" w:hAnsi="Times New Roman" w:cs="Times New Roman"/>
          <w:highlight w:val="none"/>
        </w:rPr>
        <w:t xml:space="preserve"> 除非采购人认为确有必要答复，否则，采购人有权拒绝回复供应商在本章第2.2.1项规定的时间后提出的任何澄清</w:t>
      </w:r>
      <w:r>
        <w:rPr>
          <w:rFonts w:hint="eastAsia" w:ascii="Times New Roman" w:hAnsi="Times New Roman" w:cs="Times New Roman"/>
          <w:highlight w:val="none"/>
        </w:rPr>
        <w:t>或修改</w:t>
      </w:r>
      <w:r>
        <w:rPr>
          <w:rFonts w:ascii="Times New Roman" w:hAnsi="Times New Roman" w:cs="Times New Roman"/>
          <w:highlight w:val="none"/>
        </w:rPr>
        <w:t>要求。</w:t>
      </w:r>
    </w:p>
    <w:p>
      <w:pPr>
        <w:keepNext/>
        <w:keepLines/>
        <w:spacing w:before="156" w:beforeLines="50" w:after="156" w:afterLines="50"/>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 响应文件</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3.1响应文件的组成</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响应文件应包括下列内容：</w:t>
      </w:r>
    </w:p>
    <w:p>
      <w:pPr>
        <w:spacing w:line="440" w:lineRule="exact"/>
        <w:ind w:firstLine="420"/>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商务及技术文件应包括下列内容：</w:t>
      </w:r>
    </w:p>
    <w:p>
      <w:pPr>
        <w:numPr>
          <w:ilvl w:val="0"/>
          <w:numId w:val="3"/>
        </w:numPr>
        <w:spacing w:line="440" w:lineRule="exact"/>
        <w:ind w:firstLine="420"/>
        <w:rPr>
          <w:rFonts w:hint="eastAsia" w:ascii="宋体" w:hAnsi="宋体" w:eastAsia="宋体" w:cs="宋体"/>
          <w:highlight w:val="none"/>
          <w:lang w:val="en-US" w:eastAsia="zh-CN"/>
        </w:rPr>
      </w:pPr>
      <w:r>
        <w:rPr>
          <w:rFonts w:hint="eastAsia" w:ascii="宋体" w:hAnsi="宋体" w:eastAsia="宋体" w:cs="宋体"/>
          <w:highlight w:val="none"/>
          <w:lang w:val="en-US" w:eastAsia="zh-CN"/>
        </w:rPr>
        <w:t>响应函；</w:t>
      </w:r>
    </w:p>
    <w:p>
      <w:pPr>
        <w:numPr>
          <w:ilvl w:val="0"/>
          <w:numId w:val="3"/>
        </w:numPr>
        <w:spacing w:line="440" w:lineRule="exact"/>
        <w:ind w:firstLine="420"/>
        <w:rPr>
          <w:rFonts w:hint="eastAsia" w:ascii="宋体" w:hAnsi="宋体" w:eastAsia="宋体" w:cs="宋体"/>
          <w:highlight w:val="none"/>
        </w:rPr>
      </w:pPr>
      <w:r>
        <w:rPr>
          <w:rFonts w:hint="eastAsia" w:ascii="宋体" w:hAnsi="宋体" w:eastAsia="宋体" w:cs="宋体"/>
          <w:highlight w:val="none"/>
        </w:rPr>
        <w:t>法定代表人身份证明及授权委托书；</w:t>
      </w:r>
    </w:p>
    <w:p>
      <w:pPr>
        <w:spacing w:line="440" w:lineRule="exact"/>
        <w:ind w:firstLine="420"/>
        <w:rPr>
          <w:rFonts w:hint="eastAsia" w:ascii="宋体" w:hAnsi="宋体" w:eastAsia="宋体" w:cs="宋体"/>
          <w:highlight w:val="none"/>
        </w:rPr>
      </w:pPr>
      <w:r>
        <w:rPr>
          <w:rFonts w:hint="eastAsia" w:ascii="宋体" w:hAnsi="宋体" w:eastAsia="宋体" w:cs="宋体"/>
          <w:highlight w:val="none"/>
        </w:rPr>
        <w:t>（</w:t>
      </w:r>
      <w:r>
        <w:rPr>
          <w:rFonts w:hint="eastAsia" w:ascii="宋体" w:hAnsi="宋体" w:eastAsia="宋体" w:cs="宋体"/>
          <w:highlight w:val="none"/>
          <w:lang w:val="en-US" w:eastAsia="zh-CN"/>
        </w:rPr>
        <w:t>3</w:t>
      </w:r>
      <w:r>
        <w:rPr>
          <w:rFonts w:hint="eastAsia" w:ascii="宋体" w:hAnsi="宋体" w:eastAsia="宋体" w:cs="宋体"/>
          <w:highlight w:val="none"/>
        </w:rPr>
        <w:t>）供应商基本情况；</w:t>
      </w:r>
    </w:p>
    <w:p>
      <w:pPr>
        <w:spacing w:line="440" w:lineRule="exact"/>
        <w:ind w:firstLine="420"/>
        <w:rPr>
          <w:rFonts w:hint="eastAsia" w:ascii="宋体" w:hAnsi="宋体" w:eastAsia="宋体" w:cs="宋体"/>
          <w:highlight w:val="none"/>
        </w:rPr>
      </w:pPr>
      <w:r>
        <w:rPr>
          <w:rFonts w:hint="eastAsia" w:ascii="宋体" w:hAnsi="宋体" w:eastAsia="宋体" w:cs="宋体"/>
          <w:highlight w:val="none"/>
        </w:rPr>
        <w:t>（</w:t>
      </w:r>
      <w:r>
        <w:rPr>
          <w:rFonts w:hint="eastAsia" w:ascii="宋体" w:hAnsi="宋体" w:eastAsia="宋体" w:cs="宋体"/>
          <w:highlight w:val="none"/>
          <w:lang w:val="en-US" w:eastAsia="zh-CN"/>
        </w:rPr>
        <w:t>4</w:t>
      </w:r>
      <w:r>
        <w:rPr>
          <w:rFonts w:hint="eastAsia" w:ascii="宋体" w:hAnsi="宋体" w:eastAsia="宋体" w:cs="宋体"/>
          <w:highlight w:val="none"/>
        </w:rPr>
        <w:t>）近年类似业绩情况；</w:t>
      </w:r>
    </w:p>
    <w:p>
      <w:pPr>
        <w:spacing w:line="440" w:lineRule="exact"/>
        <w:ind w:firstLine="420"/>
        <w:rPr>
          <w:rFonts w:hint="eastAsia" w:ascii="宋体" w:hAnsi="宋体" w:eastAsia="宋体" w:cs="宋体"/>
          <w:highlight w:val="none"/>
        </w:rPr>
      </w:pPr>
      <w:r>
        <w:rPr>
          <w:rFonts w:hint="eastAsia" w:ascii="宋体" w:hAnsi="宋体" w:eastAsia="宋体" w:cs="宋体"/>
          <w:highlight w:val="none"/>
        </w:rPr>
        <w:t>（</w:t>
      </w:r>
      <w:r>
        <w:rPr>
          <w:rFonts w:hint="eastAsia" w:ascii="宋体" w:hAnsi="宋体" w:eastAsia="宋体" w:cs="宋体"/>
          <w:highlight w:val="none"/>
          <w:lang w:val="en-US" w:eastAsia="zh-CN"/>
        </w:rPr>
        <w:t>5</w:t>
      </w:r>
      <w:r>
        <w:rPr>
          <w:rFonts w:hint="eastAsia" w:ascii="宋体" w:hAnsi="宋体" w:eastAsia="宋体" w:cs="宋体"/>
          <w:highlight w:val="none"/>
        </w:rPr>
        <w:t>）信誉情况；</w:t>
      </w:r>
    </w:p>
    <w:p>
      <w:pPr>
        <w:spacing w:line="440" w:lineRule="exact"/>
        <w:ind w:firstLine="420"/>
        <w:rPr>
          <w:rFonts w:hint="eastAsia" w:ascii="宋体" w:hAnsi="宋体" w:eastAsia="宋体" w:cs="宋体"/>
          <w:highlight w:val="none"/>
        </w:rPr>
      </w:pPr>
      <w:r>
        <w:rPr>
          <w:rFonts w:hint="eastAsia" w:ascii="宋体" w:hAnsi="宋体" w:eastAsia="宋体" w:cs="宋体"/>
          <w:highlight w:val="none"/>
        </w:rPr>
        <w:t>（</w:t>
      </w:r>
      <w:r>
        <w:rPr>
          <w:rFonts w:hint="eastAsia" w:ascii="宋体" w:hAnsi="宋体" w:eastAsia="宋体" w:cs="宋体"/>
          <w:highlight w:val="none"/>
          <w:lang w:val="en-US" w:eastAsia="zh-CN"/>
        </w:rPr>
        <w:t>6</w:t>
      </w:r>
      <w:r>
        <w:rPr>
          <w:rFonts w:hint="eastAsia" w:ascii="宋体" w:hAnsi="宋体" w:eastAsia="宋体" w:cs="宋体"/>
          <w:highlight w:val="none"/>
        </w:rPr>
        <w:t>）</w:t>
      </w:r>
      <w:r>
        <w:rPr>
          <w:rFonts w:hint="eastAsia" w:ascii="宋体" w:hAnsi="宋体" w:eastAsia="宋体" w:cs="宋体"/>
          <w:highlight w:val="none"/>
          <w:lang w:val="en-US" w:eastAsia="zh-CN"/>
        </w:rPr>
        <w:t>供货方案</w:t>
      </w:r>
      <w:r>
        <w:rPr>
          <w:rFonts w:hint="eastAsia" w:ascii="宋体" w:hAnsi="宋体" w:eastAsia="宋体" w:cs="宋体"/>
          <w:highlight w:val="none"/>
        </w:rPr>
        <w:t>；</w:t>
      </w:r>
    </w:p>
    <w:p>
      <w:pPr>
        <w:spacing w:line="440" w:lineRule="exact"/>
        <w:ind w:firstLine="420" w:firstLineChars="200"/>
        <w:rPr>
          <w:rFonts w:hint="eastAsia" w:ascii="宋体" w:hAnsi="宋体" w:eastAsia="宋体" w:cs="宋体"/>
          <w:highlight w:val="none"/>
        </w:rPr>
      </w:pPr>
      <w:r>
        <w:rPr>
          <w:rFonts w:hint="eastAsia" w:ascii="宋体" w:hAnsi="宋体" w:eastAsia="宋体" w:cs="宋体"/>
          <w:highlight w:val="none"/>
        </w:rPr>
        <w:t>（</w:t>
      </w:r>
      <w:r>
        <w:rPr>
          <w:rFonts w:hint="eastAsia" w:ascii="宋体" w:hAnsi="宋体" w:eastAsia="宋体" w:cs="宋体"/>
          <w:highlight w:val="none"/>
          <w:lang w:val="en-US" w:eastAsia="zh-CN"/>
        </w:rPr>
        <w:t>7</w:t>
      </w:r>
      <w:r>
        <w:rPr>
          <w:rFonts w:hint="eastAsia" w:ascii="宋体" w:hAnsi="宋体" w:eastAsia="宋体" w:cs="宋体"/>
          <w:highlight w:val="none"/>
        </w:rPr>
        <w:t>）其他材料。</w:t>
      </w:r>
    </w:p>
    <w:p>
      <w:pPr>
        <w:spacing w:line="440" w:lineRule="exact"/>
        <w:ind w:firstLine="420"/>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报价文件包括以下内容：</w:t>
      </w:r>
    </w:p>
    <w:p>
      <w:pPr>
        <w:spacing w:line="440" w:lineRule="exact"/>
        <w:ind w:firstLine="420"/>
        <w:rPr>
          <w:rFonts w:hint="eastAsia" w:ascii="宋体" w:hAnsi="宋体" w:eastAsia="宋体" w:cs="宋体"/>
          <w:highlight w:val="none"/>
        </w:rPr>
      </w:pPr>
      <w:r>
        <w:rPr>
          <w:rFonts w:hint="eastAsia" w:ascii="宋体" w:hAnsi="宋体" w:eastAsia="宋体" w:cs="宋体"/>
          <w:highlight w:val="none"/>
        </w:rPr>
        <w:t>（1）</w:t>
      </w:r>
      <w:r>
        <w:rPr>
          <w:rFonts w:hint="eastAsia" w:ascii="宋体" w:hAnsi="宋体" w:eastAsia="宋体" w:cs="宋体"/>
          <w:highlight w:val="none"/>
          <w:lang w:val="en-US" w:eastAsia="zh-CN"/>
        </w:rPr>
        <w:t>报价函</w:t>
      </w:r>
      <w:r>
        <w:rPr>
          <w:rFonts w:hint="eastAsia" w:ascii="宋体" w:hAnsi="宋体" w:eastAsia="宋体" w:cs="宋体"/>
          <w:highlight w:val="none"/>
        </w:rPr>
        <w:t>；</w:t>
      </w:r>
    </w:p>
    <w:p>
      <w:pPr>
        <w:spacing w:line="440" w:lineRule="exact"/>
        <w:ind w:firstLine="420"/>
        <w:rPr>
          <w:rFonts w:hint="eastAsia" w:ascii="宋体" w:hAnsi="宋体" w:eastAsia="宋体" w:cs="宋体"/>
          <w:highlight w:val="none"/>
        </w:rPr>
      </w:pPr>
      <w:r>
        <w:rPr>
          <w:rFonts w:hint="eastAsia" w:ascii="宋体" w:hAnsi="宋体" w:eastAsia="宋体" w:cs="宋体"/>
          <w:highlight w:val="none"/>
        </w:rPr>
        <w:t>（2）</w:t>
      </w:r>
      <w:r>
        <w:rPr>
          <w:rFonts w:hint="eastAsia" w:ascii="宋体" w:hAnsi="宋体" w:eastAsia="宋体" w:cs="宋体"/>
          <w:highlight w:val="none"/>
          <w:lang w:val="en-US" w:eastAsia="zh-CN"/>
        </w:rPr>
        <w:t>已标价的工程量清单</w:t>
      </w:r>
      <w:r>
        <w:rPr>
          <w:rFonts w:hint="eastAsia" w:ascii="宋体" w:hAnsi="宋体" w:eastAsia="宋体" w:cs="宋体"/>
          <w:highlight w:val="none"/>
        </w:rPr>
        <w:t>；</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 xml:space="preserve">3.2 报价要求 </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3.2.1 报价应包括国家规定的增值税税金。</w:t>
      </w:r>
    </w:p>
    <w:p>
      <w:pPr>
        <w:spacing w:line="440" w:lineRule="exact"/>
        <w:ind w:firstLine="420"/>
        <w:rPr>
          <w:rFonts w:hint="default" w:ascii="Times New Roman" w:hAnsi="Times New Roman" w:cs="Times New Roman" w:eastAsiaTheme="minorEastAsia"/>
          <w:highlight w:val="none"/>
          <w:lang w:val="en-US" w:eastAsia="zh-CN"/>
        </w:rPr>
      </w:pPr>
      <w:r>
        <w:rPr>
          <w:rFonts w:hint="eastAsia" w:ascii="Times New Roman" w:hAnsi="Times New Roman" w:cs="Times New Roman"/>
          <w:highlight w:val="none"/>
        </w:rPr>
        <w:t xml:space="preserve">3.2.2 </w:t>
      </w:r>
      <w:r>
        <w:rPr>
          <w:rFonts w:ascii="Times New Roman" w:hAnsi="Times New Roman" w:cs="Times New Roman"/>
          <w:highlight w:val="none"/>
        </w:rPr>
        <w:t>供应商应按第六章“响应文件格式”的要求在报价函中进行报价并填写工程量清单相应表格</w:t>
      </w:r>
      <w:r>
        <w:rPr>
          <w:rFonts w:hint="eastAsia" w:ascii="Times New Roman" w:hAnsi="Times New Roman" w:cs="Times New Roman"/>
          <w:highlight w:val="none"/>
          <w:lang w:val="en-US" w:eastAsia="zh-CN"/>
        </w:rPr>
        <w:t>。</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3.2.</w:t>
      </w:r>
      <w:r>
        <w:rPr>
          <w:rFonts w:hint="eastAsia" w:ascii="Times New Roman" w:hAnsi="Times New Roman" w:cs="Times New Roman"/>
          <w:highlight w:val="none"/>
        </w:rPr>
        <w:t>3</w:t>
      </w:r>
      <w:r>
        <w:rPr>
          <w:rFonts w:ascii="Times New Roman" w:hAnsi="Times New Roman" w:cs="Times New Roman"/>
          <w:highlight w:val="none"/>
        </w:rPr>
        <w:t xml:space="preserve"> 采购人设有最高限价的，供应商的报价不得超过最高限价，</w:t>
      </w:r>
      <w:r>
        <w:rPr>
          <w:rFonts w:hint="eastAsia" w:ascii="Times New Roman" w:hAnsi="Times New Roman" w:cs="Times New Roman"/>
          <w:highlight w:val="none"/>
        </w:rPr>
        <w:t>否则其报价将被否决，</w:t>
      </w:r>
      <w:r>
        <w:rPr>
          <w:rFonts w:ascii="Times New Roman" w:hAnsi="Times New Roman" w:cs="Times New Roman"/>
          <w:highlight w:val="none"/>
        </w:rPr>
        <w:t>最高限价</w:t>
      </w:r>
      <w:r>
        <w:rPr>
          <w:rFonts w:hint="eastAsia" w:ascii="Times New Roman" w:hAnsi="Times New Roman" w:cs="Times New Roman"/>
          <w:highlight w:val="none"/>
        </w:rPr>
        <w:t>见第一章</w:t>
      </w:r>
      <w:r>
        <w:rPr>
          <w:rFonts w:ascii="Times New Roman" w:hAnsi="Times New Roman" w:cs="Times New Roman"/>
          <w:highlight w:val="none"/>
        </w:rPr>
        <w:t>“</w:t>
      </w:r>
      <w:r>
        <w:rPr>
          <w:rFonts w:hint="eastAsia" w:ascii="Times New Roman" w:hAnsi="Times New Roman" w:cs="Times New Roman"/>
          <w:szCs w:val="21"/>
          <w:highlight w:val="none"/>
        </w:rPr>
        <w:t>采购公告</w:t>
      </w:r>
      <w:r>
        <w:rPr>
          <w:rFonts w:ascii="Times New Roman" w:hAnsi="Times New Roman" w:cs="Times New Roman"/>
          <w:szCs w:val="21"/>
          <w:highlight w:val="none"/>
        </w:rPr>
        <w:t>/</w:t>
      </w:r>
      <w:r>
        <w:rPr>
          <w:rFonts w:hint="eastAsia" w:ascii="Times New Roman" w:hAnsi="Times New Roman" w:cs="Times New Roman"/>
          <w:szCs w:val="21"/>
          <w:highlight w:val="none"/>
        </w:rPr>
        <w:t>采购邀请书</w:t>
      </w:r>
      <w:r>
        <w:rPr>
          <w:rFonts w:ascii="Times New Roman" w:hAnsi="Times New Roman" w:cs="Times New Roman"/>
          <w:highlight w:val="none"/>
        </w:rPr>
        <w:t>”</w:t>
      </w:r>
      <w:r>
        <w:rPr>
          <w:rFonts w:hint="eastAsia" w:ascii="Times New Roman" w:hAnsi="Times New Roman" w:cs="Times New Roman"/>
          <w:highlight w:val="none"/>
        </w:rPr>
        <w:t>第2.</w:t>
      </w:r>
      <w:r>
        <w:rPr>
          <w:rFonts w:hint="eastAsia" w:ascii="Times New Roman" w:hAnsi="Times New Roman" w:cs="Times New Roman"/>
          <w:highlight w:val="none"/>
          <w:lang w:val="en-US" w:eastAsia="zh-CN"/>
        </w:rPr>
        <w:t>6</w:t>
      </w:r>
      <w:r>
        <w:rPr>
          <w:rFonts w:hint="eastAsia" w:ascii="Times New Roman" w:hAnsi="Times New Roman" w:cs="Times New Roman"/>
          <w:highlight w:val="none"/>
        </w:rPr>
        <w:t>款</w:t>
      </w:r>
      <w:r>
        <w:rPr>
          <w:rFonts w:ascii="Times New Roman" w:hAnsi="Times New Roman" w:cs="Times New Roman"/>
          <w:highlight w:val="none"/>
        </w:rPr>
        <w:t>。</w:t>
      </w:r>
    </w:p>
    <w:p>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3.2.4</w:t>
      </w:r>
      <w:r>
        <w:rPr>
          <w:rFonts w:ascii="Times New Roman" w:hAnsi="Times New Roman" w:cs="Times New Roman"/>
          <w:highlight w:val="none"/>
        </w:rPr>
        <w:t>本项目的报价方式</w:t>
      </w:r>
      <w:r>
        <w:rPr>
          <w:rFonts w:hint="eastAsia" w:ascii="Times New Roman" w:hAnsi="Times New Roman" w:cs="Times New Roman"/>
          <w:highlight w:val="none"/>
        </w:rPr>
        <w:t>为</w:t>
      </w:r>
      <w:r>
        <w:rPr>
          <w:rFonts w:hint="eastAsia" w:ascii="Times New Roman" w:hAnsi="Times New Roman" w:cs="Times New Roman"/>
          <w:highlight w:val="none"/>
          <w:u w:val="single"/>
        </w:rPr>
        <w:t xml:space="preserve">  见供应商须知前附表  </w:t>
      </w:r>
      <w:r>
        <w:rPr>
          <w:rFonts w:ascii="Times New Roman" w:hAnsi="Times New Roman" w:cs="Times New Roman"/>
          <w:highlight w:val="none"/>
        </w:rPr>
        <w:t>。</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3.2.</w:t>
      </w:r>
      <w:r>
        <w:rPr>
          <w:rFonts w:hint="eastAsia" w:ascii="Times New Roman" w:hAnsi="Times New Roman" w:cs="Times New Roman"/>
          <w:highlight w:val="none"/>
        </w:rPr>
        <w:t>5</w:t>
      </w:r>
      <w:r>
        <w:rPr>
          <w:rFonts w:ascii="Times New Roman" w:hAnsi="Times New Roman" w:cs="Times New Roman"/>
          <w:highlight w:val="none"/>
        </w:rPr>
        <w:t xml:space="preserve"> 报价的其他要求</w:t>
      </w:r>
      <w:r>
        <w:rPr>
          <w:rFonts w:hint="eastAsia" w:ascii="Times New Roman" w:hAnsi="Times New Roman" w:cs="Times New Roman"/>
          <w:highlight w:val="none"/>
        </w:rPr>
        <w:t>：</w:t>
      </w:r>
      <w:r>
        <w:rPr>
          <w:rFonts w:hint="eastAsia" w:ascii="Times New Roman" w:hAnsi="Times New Roman" w:cs="Times New Roman"/>
          <w:szCs w:val="21"/>
          <w:highlight w:val="none"/>
        </w:rPr>
        <w:t>见供应商须知前附表</w:t>
      </w:r>
      <w:r>
        <w:rPr>
          <w:rFonts w:ascii="Times New Roman" w:hAnsi="Times New Roman" w:cs="Times New Roman"/>
          <w:highlight w:val="none"/>
        </w:rPr>
        <w:t>。</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3.3响应有效期</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3.3.1 响应有效期为</w:t>
      </w:r>
      <w:r>
        <w:rPr>
          <w:rFonts w:ascii="Times New Roman" w:hAnsi="Times New Roman" w:eastAsia="宋体" w:cs="Times New Roman"/>
          <w:szCs w:val="21"/>
          <w:highlight w:val="none"/>
        </w:rPr>
        <w:t>自供应商递交响应文件截止之日起计算</w:t>
      </w:r>
      <w:r>
        <w:rPr>
          <w:rFonts w:hint="eastAsia" w:ascii="Times New Roman" w:hAnsi="Times New Roman" w:eastAsia="宋体" w:cs="Times New Roman"/>
          <w:szCs w:val="21"/>
          <w:highlight w:val="none"/>
        </w:rPr>
        <w:t>9</w:t>
      </w:r>
      <w:r>
        <w:rPr>
          <w:rFonts w:ascii="Times New Roman" w:hAnsi="Times New Roman" w:eastAsia="宋体" w:cs="Times New Roman"/>
          <w:szCs w:val="21"/>
          <w:highlight w:val="none"/>
        </w:rPr>
        <w:t>0</w:t>
      </w:r>
      <w:r>
        <w:rPr>
          <w:rFonts w:ascii="Times New Roman" w:hAnsi="Times New Roman" w:cs="Times New Roman"/>
          <w:highlight w:val="none"/>
        </w:rPr>
        <w:t>日。</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3.3.2 在响应有效期内，供应商撤销响应文件的，应承担询比文件和法律规定的责任。</w:t>
      </w:r>
    </w:p>
    <w:p>
      <w:pPr>
        <w:keepNext/>
        <w:keepLines/>
        <w:spacing w:before="120" w:after="120" w:line="415" w:lineRule="auto"/>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3.4响应保证金</w:t>
      </w:r>
    </w:p>
    <w:p>
      <w:pPr>
        <w:spacing w:line="440" w:lineRule="exact"/>
        <w:ind w:firstLine="420"/>
        <w:rPr>
          <w:rFonts w:ascii="Times New Roman" w:hAnsi="Times New Roman"/>
          <w:highlight w:val="none"/>
        </w:rPr>
      </w:pPr>
      <w:r>
        <w:rPr>
          <w:rFonts w:ascii="Times New Roman" w:hAnsi="Times New Roman" w:cs="Times New Roman"/>
          <w:highlight w:val="none"/>
        </w:rPr>
        <w:t>3.4.1 供应商在递交响应文件的同时，应按</w:t>
      </w:r>
      <w:r>
        <w:rPr>
          <w:rFonts w:hint="eastAsia" w:ascii="Times New Roman" w:hAnsi="Times New Roman" w:cs="Times New Roman"/>
          <w:highlight w:val="none"/>
        </w:rPr>
        <w:t>第一章</w:t>
      </w:r>
      <w:r>
        <w:rPr>
          <w:rFonts w:ascii="Times New Roman" w:hAnsi="Times New Roman" w:cs="Times New Roman"/>
          <w:highlight w:val="none"/>
        </w:rPr>
        <w:t>“</w:t>
      </w:r>
      <w:r>
        <w:rPr>
          <w:rFonts w:hint="eastAsia" w:ascii="Times New Roman" w:hAnsi="Times New Roman" w:cs="Times New Roman"/>
          <w:szCs w:val="21"/>
          <w:highlight w:val="none"/>
        </w:rPr>
        <w:t>采购公告</w:t>
      </w:r>
      <w:r>
        <w:rPr>
          <w:rFonts w:ascii="Times New Roman" w:hAnsi="Times New Roman" w:cs="Times New Roman"/>
          <w:szCs w:val="21"/>
          <w:highlight w:val="none"/>
        </w:rPr>
        <w:t>/</w:t>
      </w:r>
      <w:r>
        <w:rPr>
          <w:rFonts w:hint="eastAsia" w:ascii="Times New Roman" w:hAnsi="Times New Roman" w:cs="Times New Roman"/>
          <w:szCs w:val="21"/>
          <w:highlight w:val="none"/>
        </w:rPr>
        <w:t>采购邀请书</w:t>
      </w:r>
      <w:r>
        <w:rPr>
          <w:rFonts w:ascii="Times New Roman" w:hAnsi="Times New Roman" w:cs="Times New Roman"/>
          <w:highlight w:val="none"/>
        </w:rPr>
        <w:t>”</w:t>
      </w:r>
      <w:r>
        <w:rPr>
          <w:rFonts w:hint="eastAsia" w:ascii="Times New Roman" w:hAnsi="Times New Roman" w:cs="Times New Roman"/>
          <w:highlight w:val="none"/>
        </w:rPr>
        <w:t>第7条的要求</w:t>
      </w:r>
      <w:r>
        <w:rPr>
          <w:rFonts w:ascii="Times New Roman" w:hAnsi="Times New Roman" w:cs="Times New Roman"/>
          <w:highlight w:val="none"/>
        </w:rPr>
        <w:t>递交响应保证金，并作为其响应文件的组成部分。</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无论采取何种形式的响应保证金，响应保证金有效期均应与响应有效期一致。</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3.4.2 供应商不按本章第3.4.1项要求提交响应保证金的，</w:t>
      </w:r>
      <w:r>
        <w:rPr>
          <w:rFonts w:hint="eastAsia" w:ascii="Times New Roman" w:hAnsi="Times New Roman" w:cs="Times New Roman"/>
          <w:highlight w:val="none"/>
        </w:rPr>
        <w:t>评审小组</w:t>
      </w:r>
      <w:r>
        <w:rPr>
          <w:rFonts w:ascii="Times New Roman" w:hAnsi="Times New Roman" w:cs="Times New Roman"/>
          <w:highlight w:val="none"/>
        </w:rPr>
        <w:t>将否决其</w:t>
      </w:r>
      <w:r>
        <w:rPr>
          <w:rFonts w:hint="eastAsia" w:ascii="Times New Roman" w:hAnsi="Times New Roman" w:cs="Times New Roman"/>
          <w:highlight w:val="none"/>
        </w:rPr>
        <w:t>响应文件</w:t>
      </w:r>
      <w:r>
        <w:rPr>
          <w:rFonts w:ascii="Times New Roman" w:hAnsi="Times New Roman" w:cs="Times New Roman"/>
          <w:highlight w:val="none"/>
        </w:rPr>
        <w:t>。</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3.4.3 采购人在与成交人签订合同后5日内办理退还响应保证金手续。</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3.4.4 有下列情形之一的，响应保证金将不予退还：</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（1）供应商在规定的响应有效期内撤销其响应文件；</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2）成交候选人无正当理由放弃成交资格的；或成交人无正当理由不与采购人签订合同的；或成交人在签订合同时向采购人提出附加条件或者更改合同实质性内容的；或者成交人不提交询比文件所要求的履约保证金的；</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w:t>
      </w:r>
      <w:r>
        <w:rPr>
          <w:rFonts w:hint="eastAsia" w:ascii="Times New Roman" w:hAnsi="Times New Roman" w:cs="Times New Roman"/>
          <w:szCs w:val="21"/>
          <w:highlight w:val="none"/>
        </w:rPr>
        <w:t>供应商须知前附表规定的</w:t>
      </w:r>
      <w:r>
        <w:rPr>
          <w:rFonts w:ascii="Times New Roman" w:hAnsi="Times New Roman" w:cs="Times New Roman"/>
          <w:szCs w:val="21"/>
          <w:highlight w:val="none"/>
        </w:rPr>
        <w:t>其他情形</w:t>
      </w:r>
      <w:r>
        <w:rPr>
          <w:rFonts w:ascii="Times New Roman" w:hAnsi="Times New Roman" w:cs="Times New Roman"/>
          <w:highlight w:val="none"/>
        </w:rPr>
        <w:t>。</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3.5资格审查资料</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供应商应按第六章“响应文件格式”</w:t>
      </w:r>
      <w:r>
        <w:rPr>
          <w:rFonts w:hint="eastAsia" w:ascii="Times New Roman" w:hAnsi="Times New Roman" w:cs="Times New Roman"/>
          <w:highlight w:val="none"/>
        </w:rPr>
        <w:t>的</w:t>
      </w:r>
      <w:r>
        <w:rPr>
          <w:rFonts w:ascii="Times New Roman" w:hAnsi="Times New Roman" w:cs="Times New Roman"/>
          <w:highlight w:val="none"/>
        </w:rPr>
        <w:t>规定提供资格审查资料，以证明其满足本章第1.</w:t>
      </w:r>
      <w:r>
        <w:rPr>
          <w:rFonts w:hint="eastAsia" w:ascii="Times New Roman" w:hAnsi="Times New Roman" w:cs="Times New Roman"/>
          <w:highlight w:val="none"/>
        </w:rPr>
        <w:t>2</w:t>
      </w:r>
      <w:r>
        <w:rPr>
          <w:rFonts w:ascii="Times New Roman" w:hAnsi="Times New Roman" w:cs="Times New Roman"/>
          <w:highlight w:val="none"/>
        </w:rPr>
        <w:t>款规定的资质、</w:t>
      </w:r>
      <w:r>
        <w:rPr>
          <w:rFonts w:hint="eastAsia" w:ascii="Times New Roman" w:hAnsi="Times New Roman" w:cs="Times New Roman"/>
          <w:highlight w:val="none"/>
        </w:rPr>
        <w:t>能力、</w:t>
      </w:r>
      <w:r>
        <w:rPr>
          <w:rFonts w:ascii="Times New Roman" w:hAnsi="Times New Roman" w:cs="Times New Roman"/>
          <w:highlight w:val="none"/>
        </w:rPr>
        <w:t>信誉等要求。</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w:t>
      </w:r>
      <w:r>
        <w:rPr>
          <w:rFonts w:hint="eastAsia" w:ascii="Times New Roman" w:hAnsi="Times New Roman" w:eastAsia="黑体" w:cs="Times New Roman"/>
          <w:bCs/>
          <w:sz w:val="24"/>
          <w:szCs w:val="32"/>
          <w:highlight w:val="none"/>
        </w:rPr>
        <w:t>6</w:t>
      </w:r>
      <w:r>
        <w:rPr>
          <w:rFonts w:ascii="Times New Roman" w:hAnsi="Times New Roman" w:eastAsia="黑体" w:cs="Times New Roman"/>
          <w:bCs/>
          <w:sz w:val="24"/>
          <w:szCs w:val="32"/>
          <w:highlight w:val="none"/>
        </w:rPr>
        <w:t>响应文件的编制</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w:t>
      </w:r>
      <w:r>
        <w:rPr>
          <w:rFonts w:hint="eastAsia" w:ascii="Times New Roman" w:hAnsi="Times New Roman" w:cs="Times New Roman"/>
          <w:highlight w:val="none"/>
        </w:rPr>
        <w:t>6</w:t>
      </w:r>
      <w:r>
        <w:rPr>
          <w:rFonts w:ascii="Times New Roman" w:hAnsi="Times New Roman" w:cs="Times New Roman"/>
          <w:highlight w:val="none"/>
        </w:rPr>
        <w:t>.1</w:t>
      </w:r>
      <w:r>
        <w:rPr>
          <w:rFonts w:hint="eastAsia" w:ascii="Times New Roman" w:hAnsi="Times New Roman" w:cs="Times New Roman"/>
          <w:highlight w:val="none"/>
        </w:rPr>
        <w:t xml:space="preserve"> </w:t>
      </w:r>
      <w:r>
        <w:rPr>
          <w:rFonts w:ascii="Times New Roman" w:hAnsi="Times New Roman" w:cs="Times New Roman"/>
          <w:highlight w:val="none"/>
        </w:rPr>
        <w:t>响应文件应按第六章“响应文件格式”进行编写，如有必要，可以增加附页，作为响应文件的组成部分。</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w:t>
      </w:r>
      <w:r>
        <w:rPr>
          <w:rFonts w:hint="eastAsia" w:ascii="Times New Roman" w:hAnsi="Times New Roman" w:cs="Times New Roman"/>
          <w:highlight w:val="none"/>
        </w:rPr>
        <w:t>6</w:t>
      </w:r>
      <w:r>
        <w:rPr>
          <w:rFonts w:ascii="Times New Roman" w:hAnsi="Times New Roman" w:cs="Times New Roman"/>
          <w:highlight w:val="none"/>
        </w:rPr>
        <w:t>.2 响应文件应当对询比文件有关工期、响应有效期、质量要求、技术标准和要求、</w:t>
      </w:r>
      <w:r>
        <w:rPr>
          <w:rFonts w:hint="eastAsia" w:ascii="Times New Roman" w:hAnsi="Times New Roman" w:cs="Times New Roman"/>
          <w:highlight w:val="none"/>
        </w:rPr>
        <w:t>采购范围</w:t>
      </w:r>
      <w:r>
        <w:rPr>
          <w:rFonts w:ascii="Times New Roman" w:hAnsi="Times New Roman" w:cs="Times New Roman"/>
          <w:highlight w:val="none"/>
        </w:rPr>
        <w:t>等实质性内容作出响应。</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w:t>
      </w:r>
      <w:r>
        <w:rPr>
          <w:rFonts w:hint="eastAsia" w:ascii="Times New Roman" w:hAnsi="Times New Roman" w:cs="Times New Roman"/>
          <w:highlight w:val="none"/>
        </w:rPr>
        <w:t>6</w:t>
      </w:r>
      <w:r>
        <w:rPr>
          <w:rFonts w:ascii="Times New Roman" w:hAnsi="Times New Roman" w:cs="Times New Roman"/>
          <w:highlight w:val="none"/>
        </w:rPr>
        <w:t>.3响应文件的制作应满足以下规定：</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Times New Roman" w:hAnsi="Times New Roman" w:cs="Times New Roman"/>
          <w:highlight w:val="none"/>
        </w:rPr>
        <w:t>响应</w:t>
      </w:r>
      <w:r>
        <w:rPr>
          <w:rFonts w:ascii="Times New Roman" w:hAnsi="Times New Roman" w:cs="Times New Roman"/>
          <w:highlight w:val="none"/>
        </w:rPr>
        <w:t>文件应用不褪色的材料书写或打印，并按第六章“</w:t>
      </w:r>
      <w:r>
        <w:rPr>
          <w:rFonts w:hint="eastAsia" w:ascii="Times New Roman" w:hAnsi="Times New Roman" w:cs="Times New Roman"/>
          <w:highlight w:val="none"/>
        </w:rPr>
        <w:t>响应文件</w:t>
      </w:r>
      <w:r>
        <w:rPr>
          <w:rFonts w:ascii="Times New Roman" w:hAnsi="Times New Roman" w:cs="Times New Roman"/>
          <w:highlight w:val="none"/>
        </w:rPr>
        <w:t>格式”的要求进行</w:t>
      </w:r>
      <w:r>
        <w:rPr>
          <w:rFonts w:hint="eastAsia" w:ascii="Times New Roman" w:hAnsi="Times New Roman" w:cs="Times New Roman"/>
          <w:highlight w:val="none"/>
        </w:rPr>
        <w:t>签名</w:t>
      </w:r>
      <w:r>
        <w:rPr>
          <w:rFonts w:ascii="Times New Roman" w:hAnsi="Times New Roman" w:cs="Times New Roman"/>
          <w:highlight w:val="none"/>
        </w:rPr>
        <w:t>和（或）盖章。</w:t>
      </w:r>
      <w:r>
        <w:rPr>
          <w:rFonts w:hint="eastAsia" w:ascii="Times New Roman" w:hAnsi="Times New Roman" w:cs="Times New Roman"/>
          <w:highlight w:val="none"/>
        </w:rPr>
        <w:t>响应</w:t>
      </w:r>
      <w:r>
        <w:rPr>
          <w:rFonts w:ascii="Times New Roman" w:hAnsi="Times New Roman" w:cs="Times New Roman"/>
          <w:highlight w:val="none"/>
        </w:rPr>
        <w:t>文件应尽量避免涂改、行间插字或删除。如果出现上述情况，改动之处应由</w:t>
      </w:r>
      <w:r>
        <w:rPr>
          <w:rFonts w:hint="eastAsia" w:ascii="Times New Roman" w:hAnsi="Times New Roman" w:cs="Times New Roman"/>
          <w:highlight w:val="none"/>
        </w:rPr>
        <w:t>供应商</w:t>
      </w:r>
      <w:r>
        <w:rPr>
          <w:rFonts w:ascii="Times New Roman" w:hAnsi="Times New Roman" w:cs="Times New Roman"/>
          <w:highlight w:val="none"/>
        </w:rPr>
        <w:t>的法定代表人或其授权的代理人</w:t>
      </w:r>
      <w:r>
        <w:rPr>
          <w:rFonts w:hint="eastAsia" w:ascii="Times New Roman" w:hAnsi="Times New Roman" w:cs="Times New Roman"/>
          <w:highlight w:val="none"/>
        </w:rPr>
        <w:t>签名</w:t>
      </w:r>
      <w:r>
        <w:rPr>
          <w:rFonts w:ascii="Times New Roman" w:hAnsi="Times New Roman" w:cs="Times New Roman"/>
          <w:highlight w:val="none"/>
        </w:rPr>
        <w:t>或盖单位章。</w:t>
      </w:r>
    </w:p>
    <w:p>
      <w:pPr>
        <w:spacing w:line="440" w:lineRule="exact"/>
        <w:ind w:firstLine="420"/>
        <w:rPr>
          <w:rFonts w:hint="default" w:ascii="Times New Roman" w:hAnsi="Times New Roman" w:cs="Times New Roman" w:eastAsiaTheme="minorEastAsia"/>
          <w:highlight w:val="none"/>
          <w:lang w:val="en-US" w:eastAsia="zh-CN"/>
        </w:rPr>
      </w:pPr>
      <w:r>
        <w:rPr>
          <w:rFonts w:ascii="Times New Roman" w:hAnsi="Times New Roman" w:cs="Times New Roman"/>
          <w:highlight w:val="none"/>
        </w:rPr>
        <w:t>（2）</w:t>
      </w:r>
      <w:r>
        <w:rPr>
          <w:rFonts w:hint="eastAsia" w:ascii="Times New Roman" w:hAnsi="Times New Roman" w:cs="Times New Roman"/>
          <w:highlight w:val="none"/>
          <w:lang w:val="en-US" w:eastAsia="zh-CN"/>
        </w:rPr>
        <w:t>响应文件正本一份，副本一份。正本和副本的封面右上角上应清楚地标记“正本”和“副本”的字样。当副本与正本不一致时，以正本文件为准。</w:t>
      </w:r>
    </w:p>
    <w:p>
      <w:pPr>
        <w:spacing w:line="440" w:lineRule="exact"/>
        <w:ind w:firstLine="420"/>
        <w:rPr>
          <w:rFonts w:hint="default" w:ascii="Times New Roman" w:hAnsi="Times New Roman" w:cs="Times New Roman"/>
          <w:highlight w:val="none"/>
          <w:lang w:val="en-US" w:eastAsia="zh-CN"/>
        </w:rPr>
      </w:pP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3</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响应文件的正本与副本应分别装订。</w:t>
      </w:r>
    </w:p>
    <w:p>
      <w:pPr>
        <w:spacing w:line="440" w:lineRule="exact"/>
        <w:ind w:firstLine="420"/>
        <w:rPr>
          <w:rFonts w:ascii="Times New Roman" w:hAnsi="Times New Roman" w:cs="Times New Roman"/>
          <w:highlight w:val="none"/>
        </w:rPr>
      </w:pP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4</w:t>
      </w:r>
      <w:r>
        <w:rPr>
          <w:rFonts w:hint="eastAsia" w:ascii="Times New Roman" w:hAnsi="Times New Roman" w:cs="Times New Roman"/>
          <w:highlight w:val="none"/>
          <w:lang w:eastAsia="zh-CN"/>
        </w:rPr>
        <w:t>）</w:t>
      </w:r>
      <w:r>
        <w:rPr>
          <w:rFonts w:hint="eastAsia" w:ascii="Times New Roman" w:hAnsi="Times New Roman" w:cs="Times New Roman"/>
          <w:highlight w:val="none"/>
        </w:rPr>
        <w:t>响应文件其他要求见供应商须知前附表</w:t>
      </w:r>
      <w:r>
        <w:rPr>
          <w:rFonts w:ascii="Times New Roman" w:hAnsi="Times New Roman" w:cs="Times New Roman"/>
          <w:highlight w:val="none"/>
        </w:rPr>
        <w:t>。</w:t>
      </w:r>
    </w:p>
    <w:p>
      <w:pPr>
        <w:keepNext/>
        <w:keepLines/>
        <w:spacing w:before="156" w:beforeLines="50" w:after="156" w:afterLines="50"/>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4. 响应文件的递交</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4.1响应文件的密封和标记</w:t>
      </w:r>
    </w:p>
    <w:p>
      <w:pPr>
        <w:spacing w:line="440" w:lineRule="exact"/>
        <w:ind w:firstLine="420"/>
        <w:rPr>
          <w:rFonts w:hint="eastAsia" w:ascii="Times New Roman" w:hAnsi="Times New Roman" w:cs="Times New Roman"/>
          <w:highlight w:val="none"/>
          <w:lang w:val="en-US" w:eastAsia="zh-CN"/>
        </w:rPr>
      </w:pPr>
      <w:r>
        <w:rPr>
          <w:rFonts w:ascii="Times New Roman" w:hAnsi="Times New Roman" w:cs="Times New Roman"/>
          <w:highlight w:val="none"/>
        </w:rPr>
        <w:t>4.1.1响应文件</w:t>
      </w:r>
      <w:r>
        <w:rPr>
          <w:rFonts w:hint="eastAsia" w:ascii="Times New Roman" w:hAnsi="Times New Roman" w:cs="Times New Roman"/>
          <w:highlight w:val="none"/>
        </w:rPr>
        <w:t>正、副本</w:t>
      </w:r>
      <w:r>
        <w:rPr>
          <w:rFonts w:ascii="Times New Roman" w:hAnsi="Times New Roman" w:cs="Times New Roman"/>
          <w:highlight w:val="none"/>
        </w:rPr>
        <w:t>应密封包装</w:t>
      </w:r>
      <w:r>
        <w:rPr>
          <w:rFonts w:hint="eastAsia" w:ascii="Times New Roman" w:hAnsi="Times New Roman" w:cs="Times New Roman"/>
          <w:highlight w:val="none"/>
        </w:rPr>
        <w:t>在一个封套内，</w:t>
      </w:r>
      <w:r>
        <w:rPr>
          <w:rFonts w:hint="eastAsia" w:ascii="Times New Roman" w:hAnsi="Times New Roman" w:cs="Times New Roman"/>
          <w:highlight w:val="none"/>
          <w:lang w:val="en-US" w:eastAsia="zh-CN"/>
        </w:rPr>
        <w:t>第一信封（商务及技术文件）与第二信封（报价文件）分开密封。</w:t>
      </w:r>
    </w:p>
    <w:p>
      <w:pPr>
        <w:spacing w:line="440" w:lineRule="exact"/>
        <w:ind w:firstLine="420"/>
        <w:rPr>
          <w:rFonts w:ascii="Times New Roman" w:hAnsi="Times New Roman" w:cs="Times New Roman"/>
          <w:highlight w:val="none"/>
        </w:rPr>
      </w:pPr>
      <w:r>
        <w:rPr>
          <w:rFonts w:hint="eastAsia" w:ascii="Times New Roman" w:hAnsi="Times New Roman" w:cs="Times New Roman"/>
          <w:highlight w:val="none"/>
          <w:lang w:val="en-US" w:eastAsia="zh-CN"/>
        </w:rPr>
        <w:t>响应文件第一信封（商务及技术文件）</w:t>
      </w:r>
      <w:r>
        <w:rPr>
          <w:rFonts w:hint="eastAsia" w:ascii="Times New Roman" w:hAnsi="Times New Roman" w:cs="Times New Roman"/>
          <w:highlight w:val="none"/>
        </w:rPr>
        <w:t>封套上注明：</w:t>
      </w:r>
    </w:p>
    <w:p>
      <w:pPr>
        <w:spacing w:line="440" w:lineRule="exact"/>
        <w:ind w:firstLine="420"/>
        <w:rPr>
          <w:rFonts w:ascii="Times New Roman" w:hAnsi="Times New Roman" w:eastAsia="黑体" w:cs="黑体"/>
          <w:bCs/>
          <w:snapToGrid w:val="0"/>
          <w:kern w:val="0"/>
          <w:szCs w:val="21"/>
          <w:highlight w:val="none"/>
        </w:rPr>
      </w:pPr>
      <w:r>
        <w:rPr>
          <w:rFonts w:hint="eastAsia" w:ascii="Times New Roman" w:hAnsi="Times New Roman" w:eastAsia="黑体" w:cs="黑体"/>
          <w:bCs/>
          <w:snapToGrid w:val="0"/>
          <w:kern w:val="0"/>
          <w:szCs w:val="21"/>
          <w:highlight w:val="none"/>
        </w:rPr>
        <w:t>供应商名称：</w:t>
      </w:r>
      <w:r>
        <w:rPr>
          <w:rFonts w:hint="eastAsia" w:ascii="Times New Roman" w:hAnsi="Times New Roman" w:eastAsia="黑体" w:cs="黑体"/>
          <w:bCs/>
          <w:snapToGrid w:val="0"/>
          <w:kern w:val="0"/>
          <w:szCs w:val="21"/>
          <w:highlight w:val="none"/>
          <w:u w:val="single"/>
        </w:rPr>
        <w:t xml:space="preserve">            </w:t>
      </w:r>
    </w:p>
    <w:p>
      <w:pPr>
        <w:spacing w:line="440" w:lineRule="exact"/>
        <w:ind w:firstLine="420"/>
        <w:rPr>
          <w:rFonts w:ascii="Times New Roman" w:hAnsi="Times New Roman" w:eastAsia="黑体" w:cs="黑体"/>
          <w:bCs/>
          <w:snapToGrid w:val="0"/>
          <w:kern w:val="0"/>
          <w:szCs w:val="21"/>
          <w:highlight w:val="none"/>
        </w:rPr>
      </w:pPr>
      <w:r>
        <w:rPr>
          <w:rFonts w:hint="eastAsia" w:ascii="Times New Roman" w:hAnsi="Times New Roman" w:eastAsia="黑体" w:cs="黑体"/>
          <w:bCs/>
          <w:snapToGrid w:val="0"/>
          <w:kern w:val="0"/>
          <w:szCs w:val="21"/>
          <w:highlight w:val="none"/>
          <w:u w:val="single"/>
        </w:rPr>
        <w:t xml:space="preserve">            </w:t>
      </w:r>
      <w:r>
        <w:rPr>
          <w:rFonts w:hint="eastAsia" w:ascii="Times New Roman" w:hAnsi="Times New Roman" w:eastAsia="黑体" w:cs="黑体"/>
          <w:bCs/>
          <w:snapToGrid w:val="0"/>
          <w:kern w:val="0"/>
          <w:szCs w:val="21"/>
          <w:highlight w:val="none"/>
        </w:rPr>
        <w:t>(项目</w:t>
      </w:r>
      <w:r>
        <w:rPr>
          <w:rFonts w:hint="eastAsia" w:ascii="Times New Roman" w:hAnsi="Times New Roman" w:eastAsia="黑体" w:cs="黑体"/>
          <w:highlight w:val="none"/>
        </w:rPr>
        <w:t>名称</w:t>
      </w:r>
      <w:r>
        <w:rPr>
          <w:rFonts w:hint="eastAsia" w:ascii="Times New Roman" w:hAnsi="Times New Roman" w:eastAsia="黑体" w:cs="黑体"/>
          <w:bCs/>
          <w:snapToGrid w:val="0"/>
          <w:kern w:val="0"/>
          <w:szCs w:val="21"/>
          <w:highlight w:val="none"/>
        </w:rPr>
        <w:t>)</w:t>
      </w:r>
      <w:r>
        <w:rPr>
          <w:rFonts w:hint="eastAsia" w:ascii="Times New Roman" w:hAnsi="Times New Roman" w:eastAsia="黑体" w:cs="黑体"/>
          <w:bCs/>
          <w:snapToGrid w:val="0"/>
          <w:kern w:val="0"/>
          <w:szCs w:val="21"/>
          <w:highlight w:val="none"/>
          <w:u w:val="none"/>
          <w:lang w:val="en-US" w:eastAsia="zh-CN"/>
        </w:rPr>
        <w:t>第一信封（商务及技术文件）</w:t>
      </w:r>
      <w:r>
        <w:rPr>
          <w:rFonts w:hint="eastAsia" w:ascii="Times New Roman" w:hAnsi="Times New Roman" w:eastAsia="黑体" w:cs="黑体"/>
          <w:bCs/>
          <w:snapToGrid w:val="0"/>
          <w:kern w:val="0"/>
          <w:szCs w:val="21"/>
          <w:highlight w:val="none"/>
        </w:rPr>
        <w:t>响应文件</w:t>
      </w:r>
    </w:p>
    <w:p>
      <w:pPr>
        <w:spacing w:line="440" w:lineRule="exact"/>
        <w:ind w:firstLine="420"/>
        <w:rPr>
          <w:rFonts w:hint="eastAsia" w:ascii="Times New Roman" w:hAnsi="Times New Roman" w:eastAsia="黑体" w:cs="黑体"/>
          <w:bCs/>
          <w:snapToGrid w:val="0"/>
          <w:kern w:val="0"/>
          <w:szCs w:val="21"/>
          <w:highlight w:val="none"/>
        </w:rPr>
      </w:pPr>
      <w:r>
        <w:rPr>
          <w:rFonts w:hint="eastAsia" w:ascii="Times New Roman" w:hAnsi="Times New Roman" w:eastAsia="黑体" w:cs="黑体"/>
          <w:bCs/>
          <w:snapToGrid w:val="0"/>
          <w:kern w:val="0"/>
          <w:szCs w:val="21"/>
          <w:highlight w:val="none"/>
        </w:rPr>
        <w:t>在</w:t>
      </w:r>
      <w:r>
        <w:rPr>
          <w:rFonts w:hint="eastAsia" w:ascii="Times New Roman" w:hAnsi="Times New Roman" w:eastAsia="黑体" w:cs="黑体"/>
          <w:bCs/>
          <w:snapToGrid w:val="0"/>
          <w:kern w:val="0"/>
          <w:szCs w:val="21"/>
          <w:highlight w:val="none"/>
          <w:u w:val="single"/>
        </w:rPr>
        <w:t xml:space="preserve">    </w:t>
      </w:r>
      <w:r>
        <w:rPr>
          <w:rFonts w:hint="eastAsia" w:ascii="Times New Roman" w:hAnsi="Times New Roman" w:eastAsia="黑体" w:cs="黑体"/>
          <w:bCs/>
          <w:snapToGrid w:val="0"/>
          <w:kern w:val="0"/>
          <w:szCs w:val="21"/>
          <w:highlight w:val="none"/>
        </w:rPr>
        <w:t>年</w:t>
      </w:r>
      <w:r>
        <w:rPr>
          <w:rFonts w:hint="eastAsia" w:ascii="Times New Roman" w:hAnsi="Times New Roman" w:eastAsia="黑体" w:cs="黑体"/>
          <w:bCs/>
          <w:snapToGrid w:val="0"/>
          <w:kern w:val="0"/>
          <w:szCs w:val="21"/>
          <w:highlight w:val="none"/>
          <w:u w:val="single"/>
        </w:rPr>
        <w:t xml:space="preserve">   </w:t>
      </w:r>
      <w:r>
        <w:rPr>
          <w:rFonts w:hint="eastAsia" w:ascii="Times New Roman" w:hAnsi="Times New Roman" w:eastAsia="黑体" w:cs="黑体"/>
          <w:bCs/>
          <w:snapToGrid w:val="0"/>
          <w:kern w:val="0"/>
          <w:szCs w:val="21"/>
          <w:highlight w:val="none"/>
        </w:rPr>
        <w:t>月</w:t>
      </w:r>
      <w:r>
        <w:rPr>
          <w:rFonts w:hint="eastAsia" w:ascii="Times New Roman" w:hAnsi="Times New Roman" w:eastAsia="黑体" w:cs="黑体"/>
          <w:bCs/>
          <w:snapToGrid w:val="0"/>
          <w:kern w:val="0"/>
          <w:szCs w:val="21"/>
          <w:highlight w:val="none"/>
          <w:u w:val="single"/>
        </w:rPr>
        <w:t xml:space="preserve">   </w:t>
      </w:r>
      <w:r>
        <w:rPr>
          <w:rFonts w:hint="eastAsia" w:ascii="Times New Roman" w:hAnsi="Times New Roman" w:eastAsia="黑体" w:cs="黑体"/>
          <w:bCs/>
          <w:snapToGrid w:val="0"/>
          <w:kern w:val="0"/>
          <w:szCs w:val="21"/>
          <w:highlight w:val="none"/>
        </w:rPr>
        <w:t>日</w:t>
      </w:r>
      <w:r>
        <w:rPr>
          <w:rFonts w:hint="eastAsia" w:ascii="Times New Roman" w:hAnsi="Times New Roman" w:eastAsia="黑体" w:cs="黑体"/>
          <w:bCs/>
          <w:snapToGrid w:val="0"/>
          <w:kern w:val="0"/>
          <w:szCs w:val="21"/>
          <w:highlight w:val="none"/>
          <w:u w:val="single"/>
        </w:rPr>
        <w:t xml:space="preserve">    </w:t>
      </w:r>
      <w:r>
        <w:rPr>
          <w:rFonts w:hint="eastAsia" w:ascii="Times New Roman" w:hAnsi="Times New Roman" w:eastAsia="黑体" w:cs="黑体"/>
          <w:bCs/>
          <w:snapToGrid w:val="0"/>
          <w:kern w:val="0"/>
          <w:szCs w:val="21"/>
          <w:highlight w:val="none"/>
        </w:rPr>
        <w:t>时</w:t>
      </w:r>
      <w:r>
        <w:rPr>
          <w:rFonts w:hint="eastAsia" w:ascii="Times New Roman" w:hAnsi="Times New Roman" w:eastAsia="黑体" w:cs="黑体"/>
          <w:bCs/>
          <w:snapToGrid w:val="0"/>
          <w:kern w:val="0"/>
          <w:szCs w:val="21"/>
          <w:highlight w:val="none"/>
          <w:u w:val="single"/>
        </w:rPr>
        <w:t xml:space="preserve">   </w:t>
      </w:r>
      <w:r>
        <w:rPr>
          <w:rFonts w:hint="eastAsia" w:ascii="Times New Roman" w:hAnsi="Times New Roman" w:eastAsia="黑体" w:cs="黑体"/>
          <w:bCs/>
          <w:snapToGrid w:val="0"/>
          <w:kern w:val="0"/>
          <w:szCs w:val="21"/>
          <w:highlight w:val="none"/>
        </w:rPr>
        <w:t>分（递交响应文件的截止时间）前不得开启</w:t>
      </w:r>
    </w:p>
    <w:p>
      <w:pPr>
        <w:spacing w:line="440" w:lineRule="exact"/>
        <w:ind w:firstLine="420"/>
        <w:rPr>
          <w:rFonts w:ascii="Times New Roman" w:hAnsi="Times New Roman" w:cs="Times New Roman"/>
          <w:highlight w:val="none"/>
        </w:rPr>
      </w:pPr>
      <w:r>
        <w:rPr>
          <w:rFonts w:hint="eastAsia" w:ascii="Times New Roman" w:hAnsi="Times New Roman" w:cs="Times New Roman"/>
          <w:highlight w:val="none"/>
          <w:lang w:val="en-US" w:eastAsia="zh-CN"/>
        </w:rPr>
        <w:t>响应文件第二信封（报价文件）</w:t>
      </w:r>
      <w:r>
        <w:rPr>
          <w:rFonts w:hint="eastAsia" w:ascii="Times New Roman" w:hAnsi="Times New Roman" w:cs="Times New Roman"/>
          <w:highlight w:val="none"/>
        </w:rPr>
        <w:t>封套上注明：</w:t>
      </w:r>
    </w:p>
    <w:p>
      <w:pPr>
        <w:spacing w:line="440" w:lineRule="exact"/>
        <w:ind w:firstLine="420"/>
        <w:rPr>
          <w:rFonts w:ascii="Times New Roman" w:hAnsi="Times New Roman" w:eastAsia="黑体" w:cs="黑体"/>
          <w:bCs/>
          <w:snapToGrid w:val="0"/>
          <w:kern w:val="0"/>
          <w:szCs w:val="21"/>
          <w:highlight w:val="none"/>
        </w:rPr>
      </w:pPr>
      <w:r>
        <w:rPr>
          <w:rFonts w:hint="eastAsia" w:ascii="Times New Roman" w:hAnsi="Times New Roman" w:eastAsia="黑体" w:cs="黑体"/>
          <w:bCs/>
          <w:snapToGrid w:val="0"/>
          <w:kern w:val="0"/>
          <w:szCs w:val="21"/>
          <w:highlight w:val="none"/>
        </w:rPr>
        <w:t>供应商名称：</w:t>
      </w:r>
      <w:r>
        <w:rPr>
          <w:rFonts w:hint="eastAsia" w:ascii="Times New Roman" w:hAnsi="Times New Roman" w:eastAsia="黑体" w:cs="黑体"/>
          <w:bCs/>
          <w:snapToGrid w:val="0"/>
          <w:kern w:val="0"/>
          <w:szCs w:val="21"/>
          <w:highlight w:val="none"/>
          <w:u w:val="single"/>
        </w:rPr>
        <w:t xml:space="preserve">            </w:t>
      </w:r>
    </w:p>
    <w:p>
      <w:pPr>
        <w:spacing w:line="440" w:lineRule="exact"/>
        <w:ind w:firstLine="420"/>
        <w:rPr>
          <w:rFonts w:ascii="Times New Roman" w:hAnsi="Times New Roman" w:eastAsia="黑体" w:cs="黑体"/>
          <w:bCs/>
          <w:snapToGrid w:val="0"/>
          <w:kern w:val="0"/>
          <w:szCs w:val="21"/>
          <w:highlight w:val="none"/>
        </w:rPr>
      </w:pPr>
      <w:r>
        <w:rPr>
          <w:rFonts w:hint="eastAsia" w:ascii="Times New Roman" w:hAnsi="Times New Roman" w:eastAsia="黑体" w:cs="黑体"/>
          <w:bCs/>
          <w:snapToGrid w:val="0"/>
          <w:kern w:val="0"/>
          <w:szCs w:val="21"/>
          <w:highlight w:val="none"/>
          <w:u w:val="single"/>
        </w:rPr>
        <w:t xml:space="preserve">            </w:t>
      </w:r>
      <w:r>
        <w:rPr>
          <w:rFonts w:hint="eastAsia" w:ascii="Times New Roman" w:hAnsi="Times New Roman" w:eastAsia="黑体" w:cs="黑体"/>
          <w:bCs/>
          <w:snapToGrid w:val="0"/>
          <w:kern w:val="0"/>
          <w:szCs w:val="21"/>
          <w:highlight w:val="none"/>
        </w:rPr>
        <w:t>(项目</w:t>
      </w:r>
      <w:r>
        <w:rPr>
          <w:rFonts w:hint="eastAsia" w:ascii="Times New Roman" w:hAnsi="Times New Roman" w:eastAsia="黑体" w:cs="黑体"/>
          <w:highlight w:val="none"/>
        </w:rPr>
        <w:t>名称</w:t>
      </w:r>
      <w:r>
        <w:rPr>
          <w:rFonts w:hint="eastAsia" w:ascii="Times New Roman" w:hAnsi="Times New Roman" w:eastAsia="黑体" w:cs="黑体"/>
          <w:bCs/>
          <w:snapToGrid w:val="0"/>
          <w:kern w:val="0"/>
          <w:szCs w:val="21"/>
          <w:highlight w:val="none"/>
        </w:rPr>
        <w:t>)</w:t>
      </w:r>
      <w:r>
        <w:rPr>
          <w:rFonts w:hint="eastAsia" w:ascii="Times New Roman" w:hAnsi="Times New Roman" w:eastAsia="黑体" w:cs="黑体"/>
          <w:bCs/>
          <w:snapToGrid w:val="0"/>
          <w:kern w:val="0"/>
          <w:szCs w:val="21"/>
          <w:highlight w:val="none"/>
          <w:u w:val="none"/>
          <w:lang w:val="en-US" w:eastAsia="zh-CN"/>
        </w:rPr>
        <w:t>第二信封（报价文件）</w:t>
      </w:r>
      <w:r>
        <w:rPr>
          <w:rFonts w:hint="eastAsia" w:ascii="Times New Roman" w:hAnsi="Times New Roman" w:eastAsia="黑体" w:cs="黑体"/>
          <w:bCs/>
          <w:snapToGrid w:val="0"/>
          <w:kern w:val="0"/>
          <w:szCs w:val="21"/>
          <w:highlight w:val="none"/>
        </w:rPr>
        <w:t>响应文件</w:t>
      </w:r>
    </w:p>
    <w:p>
      <w:pPr>
        <w:spacing w:line="440" w:lineRule="exact"/>
        <w:ind w:firstLine="420" w:firstLineChars="200"/>
        <w:jc w:val="both"/>
        <w:rPr>
          <w:rFonts w:hint="eastAsia" w:ascii="Times New Roman" w:hAnsi="Times New Roman" w:eastAsia="黑体" w:cs="黑体"/>
          <w:bCs/>
          <w:snapToGrid w:val="0"/>
          <w:kern w:val="0"/>
          <w:szCs w:val="21"/>
          <w:highlight w:val="none"/>
        </w:rPr>
      </w:pPr>
      <w:r>
        <w:rPr>
          <w:rFonts w:hint="eastAsia" w:ascii="Times New Roman" w:hAnsi="Times New Roman" w:eastAsia="黑体" w:cs="黑体"/>
          <w:bCs/>
          <w:snapToGrid w:val="0"/>
          <w:kern w:val="0"/>
          <w:szCs w:val="21"/>
          <w:highlight w:val="none"/>
          <w:lang w:val="en-US" w:eastAsia="zh-CN"/>
        </w:rPr>
        <w:t>在第一信封开启</w:t>
      </w:r>
      <w:r>
        <w:rPr>
          <w:rFonts w:hint="eastAsia" w:ascii="Times New Roman" w:hAnsi="Times New Roman" w:eastAsia="黑体" w:cs="黑体"/>
          <w:bCs/>
          <w:snapToGrid w:val="0"/>
          <w:kern w:val="0"/>
          <w:szCs w:val="21"/>
          <w:highlight w:val="none"/>
        </w:rPr>
        <w:t>前不得开启</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4.1.2</w:t>
      </w:r>
      <w:r>
        <w:rPr>
          <w:rFonts w:ascii="Times New Roman" w:hAnsi="Times New Roman"/>
          <w:highlight w:val="none"/>
        </w:rPr>
        <w:t>未按本章第4.1.1项</w:t>
      </w:r>
      <w:r>
        <w:rPr>
          <w:rFonts w:ascii="Times New Roman" w:hAnsi="Times New Roman" w:cs="Times New Roman"/>
          <w:highlight w:val="none"/>
        </w:rPr>
        <w:t>要求</w:t>
      </w:r>
      <w:r>
        <w:rPr>
          <w:rFonts w:ascii="Times New Roman" w:hAnsi="Times New Roman"/>
          <w:highlight w:val="none"/>
        </w:rPr>
        <w:t>密封的</w:t>
      </w:r>
      <w:r>
        <w:rPr>
          <w:rFonts w:hint="eastAsia" w:ascii="Times New Roman" w:hAnsi="Times New Roman"/>
          <w:highlight w:val="none"/>
        </w:rPr>
        <w:t>响应文件</w:t>
      </w:r>
      <w:r>
        <w:rPr>
          <w:rFonts w:ascii="Times New Roman" w:hAnsi="Times New Roman"/>
          <w:highlight w:val="none"/>
        </w:rPr>
        <w:t>，</w:t>
      </w:r>
      <w:r>
        <w:rPr>
          <w:rFonts w:hint="eastAsia" w:ascii="Times New Roman" w:hAnsi="Times New Roman"/>
          <w:highlight w:val="none"/>
        </w:rPr>
        <w:t>采购人</w:t>
      </w:r>
      <w:r>
        <w:rPr>
          <w:rFonts w:ascii="Times New Roman" w:hAnsi="Times New Roman"/>
          <w:highlight w:val="none"/>
        </w:rPr>
        <w:t>将予以拒收。</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4.2 响应文件的递交</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4.2.1供应商应当</w:t>
      </w:r>
      <w:r>
        <w:rPr>
          <w:rFonts w:hint="eastAsia" w:ascii="Times New Roman" w:hAnsi="Times New Roman" w:cs="Times New Roman"/>
          <w:highlight w:val="none"/>
        </w:rPr>
        <w:t>按照第一章</w:t>
      </w:r>
      <w:r>
        <w:rPr>
          <w:rFonts w:ascii="Times New Roman" w:hAnsi="Times New Roman" w:cs="Times New Roman"/>
          <w:highlight w:val="none"/>
        </w:rPr>
        <w:t>“</w:t>
      </w:r>
      <w:r>
        <w:rPr>
          <w:rFonts w:hint="eastAsia" w:ascii="Times New Roman" w:hAnsi="Times New Roman" w:cs="Times New Roman"/>
          <w:szCs w:val="21"/>
          <w:highlight w:val="none"/>
        </w:rPr>
        <w:t>采购公告</w:t>
      </w:r>
      <w:r>
        <w:rPr>
          <w:rFonts w:ascii="Times New Roman" w:hAnsi="Times New Roman" w:cs="Times New Roman"/>
          <w:szCs w:val="21"/>
          <w:highlight w:val="none"/>
        </w:rPr>
        <w:t>/</w:t>
      </w:r>
      <w:r>
        <w:rPr>
          <w:rFonts w:hint="eastAsia" w:ascii="Times New Roman" w:hAnsi="Times New Roman" w:cs="Times New Roman"/>
          <w:szCs w:val="21"/>
          <w:highlight w:val="none"/>
        </w:rPr>
        <w:t>采购邀请书</w:t>
      </w:r>
      <w:r>
        <w:rPr>
          <w:rFonts w:ascii="Times New Roman" w:hAnsi="Times New Roman" w:cs="Times New Roman"/>
          <w:highlight w:val="none"/>
        </w:rPr>
        <w:t>”</w:t>
      </w:r>
      <w:r>
        <w:rPr>
          <w:rFonts w:hint="eastAsia" w:ascii="Times New Roman" w:hAnsi="Times New Roman" w:cs="Times New Roman"/>
          <w:szCs w:val="21"/>
          <w:highlight w:val="none"/>
        </w:rPr>
        <w:t>第5条的规定递交响应文件</w:t>
      </w:r>
      <w:r>
        <w:rPr>
          <w:rFonts w:ascii="Times New Roman" w:hAnsi="Times New Roman" w:cs="Times New Roman"/>
          <w:highlight w:val="none"/>
        </w:rPr>
        <w:t>。</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4.2.</w:t>
      </w:r>
      <w:r>
        <w:rPr>
          <w:rFonts w:hint="eastAsia" w:ascii="Times New Roman" w:hAnsi="Times New Roman" w:cs="Times New Roman"/>
          <w:highlight w:val="none"/>
        </w:rPr>
        <w:t>2</w:t>
      </w:r>
      <w:r>
        <w:rPr>
          <w:rFonts w:ascii="Times New Roman" w:hAnsi="Times New Roman" w:cs="Times New Roman"/>
          <w:highlight w:val="none"/>
        </w:rPr>
        <w:t xml:space="preserve"> </w:t>
      </w:r>
      <w:r>
        <w:rPr>
          <w:rFonts w:hint="eastAsia" w:ascii="Times New Roman" w:hAnsi="Times New Roman" w:cs="Times New Roman"/>
          <w:highlight w:val="none"/>
        </w:rPr>
        <w:t>递交响应文件的供应商数量不足3家时，采购人将宣布本次采购失败，并退还已递交的响应文件。</w:t>
      </w:r>
    </w:p>
    <w:p>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4.2.3 除第4.2.2项规定外，</w:t>
      </w:r>
      <w:r>
        <w:rPr>
          <w:rFonts w:ascii="Times New Roman" w:hAnsi="Times New Roman" w:cs="Times New Roman"/>
          <w:highlight w:val="none"/>
        </w:rPr>
        <w:t>供应商所递交的响应文件不予退还。</w:t>
      </w:r>
    </w:p>
    <w:p>
      <w:pPr>
        <w:keepNext/>
        <w:keepLines/>
        <w:spacing w:before="156" w:beforeLines="50" w:after="156" w:afterLines="50"/>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5. 启封</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5.1 启封时间和地点</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采购人在本章第4.2.1项规定的响应文件递交截止时间（启封时间），</w:t>
      </w:r>
      <w:r>
        <w:rPr>
          <w:rFonts w:hint="eastAsia" w:ascii="Times New Roman" w:hAnsi="Times New Roman" w:cs="Times New Roman"/>
          <w:highlight w:val="none"/>
        </w:rPr>
        <w:t>按照第一章</w:t>
      </w:r>
      <w:r>
        <w:rPr>
          <w:rFonts w:ascii="Times New Roman" w:hAnsi="Times New Roman" w:cs="Times New Roman"/>
          <w:highlight w:val="none"/>
        </w:rPr>
        <w:t>“</w:t>
      </w:r>
      <w:r>
        <w:rPr>
          <w:rFonts w:hint="eastAsia" w:ascii="Times New Roman" w:hAnsi="Times New Roman" w:cs="Times New Roman"/>
          <w:szCs w:val="21"/>
          <w:highlight w:val="none"/>
        </w:rPr>
        <w:t>采购公告</w:t>
      </w:r>
      <w:r>
        <w:rPr>
          <w:rFonts w:ascii="Times New Roman" w:hAnsi="Times New Roman" w:cs="Times New Roman"/>
          <w:szCs w:val="21"/>
          <w:highlight w:val="none"/>
        </w:rPr>
        <w:t>/</w:t>
      </w:r>
      <w:r>
        <w:rPr>
          <w:rFonts w:hint="eastAsia" w:ascii="Times New Roman" w:hAnsi="Times New Roman" w:cs="Times New Roman"/>
          <w:szCs w:val="21"/>
          <w:highlight w:val="none"/>
        </w:rPr>
        <w:t>采购邀请书</w:t>
      </w:r>
      <w:r>
        <w:rPr>
          <w:rFonts w:ascii="Times New Roman" w:hAnsi="Times New Roman" w:cs="Times New Roman"/>
          <w:highlight w:val="none"/>
        </w:rPr>
        <w:t>”</w:t>
      </w:r>
      <w:r>
        <w:rPr>
          <w:rFonts w:hint="eastAsia" w:ascii="Times New Roman" w:hAnsi="Times New Roman" w:cs="Times New Roman"/>
          <w:szCs w:val="21"/>
          <w:highlight w:val="none"/>
        </w:rPr>
        <w:t>第6条的规定进行启封</w:t>
      </w:r>
      <w:r>
        <w:rPr>
          <w:rFonts w:ascii="Times New Roman" w:hAnsi="Times New Roman" w:cs="Times New Roman"/>
          <w:highlight w:val="none"/>
        </w:rPr>
        <w:t>。</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供应商若未派法定代表人或其委托代理人出席启封活动，视为该供应商默认启封结果。</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5.2</w:t>
      </w:r>
      <w:r>
        <w:rPr>
          <w:rFonts w:hint="eastAsia" w:ascii="Times New Roman" w:hAnsi="Times New Roman" w:eastAsia="黑体" w:cs="Times New Roman"/>
          <w:bCs/>
          <w:sz w:val="24"/>
          <w:szCs w:val="32"/>
          <w:highlight w:val="none"/>
        </w:rPr>
        <w:t>启封</w:t>
      </w:r>
      <w:r>
        <w:rPr>
          <w:rFonts w:ascii="Times New Roman" w:hAnsi="Times New Roman" w:eastAsia="黑体" w:cs="Times New Roman"/>
          <w:bCs/>
          <w:sz w:val="24"/>
          <w:szCs w:val="32"/>
          <w:highlight w:val="none"/>
        </w:rPr>
        <w:t>程序</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highlight w:val="none"/>
        </w:rPr>
      </w:pPr>
      <w:r>
        <w:rPr>
          <w:rFonts w:ascii="Times New Roman" w:hAnsi="Times New Roman" w:cs="Times New Roman"/>
          <w:highlight w:val="none"/>
        </w:rPr>
        <w:t xml:space="preserve">5.2.1主持人按下列程序进行启封：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highlight w:val="none"/>
        </w:rPr>
      </w:pPr>
      <w:r>
        <w:rPr>
          <w:rFonts w:ascii="Times New Roman" w:hAnsi="Times New Roman" w:cs="Times New Roman"/>
          <w:highlight w:val="none"/>
        </w:rPr>
        <w:t>（1）公布在响应文件递交截止时间</w:t>
      </w:r>
      <w:r>
        <w:rPr>
          <w:rFonts w:hint="eastAsia" w:ascii="Times New Roman" w:hAnsi="Times New Roman" w:cs="Times New Roman"/>
          <w:highlight w:val="none"/>
        </w:rPr>
        <w:t>前</w:t>
      </w:r>
      <w:r>
        <w:rPr>
          <w:rFonts w:ascii="Times New Roman" w:hAnsi="Times New Roman" w:cs="Times New Roman"/>
          <w:highlight w:val="none"/>
        </w:rPr>
        <w:t>递交响应文件的供应商名称；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highlight w:val="none"/>
        </w:rPr>
      </w:pPr>
      <w:r>
        <w:rPr>
          <w:rFonts w:ascii="Times New Roman" w:hAnsi="Times New Roman" w:cs="Times New Roman"/>
          <w:highlight w:val="none"/>
        </w:rPr>
        <w:t xml:space="preserve">（2）由供应商推选的代表检查响应文件的密封情况；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bCs/>
          <w:highlight w:val="none"/>
        </w:rPr>
      </w:pPr>
      <w:r>
        <w:rPr>
          <w:rFonts w:ascii="Times New Roman" w:hAnsi="Times New Roman" w:cs="Times New Roman"/>
          <w:highlight w:val="none"/>
        </w:rPr>
        <w:t>（3）</w:t>
      </w:r>
      <w:r>
        <w:rPr>
          <w:rFonts w:hint="eastAsia" w:ascii="Times New Roman" w:hAnsi="Times New Roman" w:cs="Times New Roman"/>
          <w:bCs/>
          <w:highlight w:val="none"/>
          <w:lang w:val="en-US" w:eastAsia="zh-CN"/>
        </w:rPr>
        <w:t>开启商务及技术文件</w:t>
      </w:r>
      <w:r>
        <w:rPr>
          <w:rFonts w:ascii="Times New Roman" w:hAnsi="Times New Roman" w:cs="Times New Roman"/>
          <w:bCs/>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cs="Times New Roman"/>
          <w:bCs/>
          <w:highlight w:val="none"/>
          <w:lang w:val="en-US" w:eastAsia="zh-CN"/>
        </w:rPr>
      </w:pPr>
      <w:r>
        <w:rPr>
          <w:rFonts w:ascii="Times New Roman" w:hAnsi="Times New Roman" w:cs="Times New Roman"/>
          <w:bCs/>
          <w:highlight w:val="none"/>
        </w:rPr>
        <w:t>（</w:t>
      </w:r>
      <w:r>
        <w:rPr>
          <w:rFonts w:hint="eastAsia" w:ascii="Times New Roman" w:hAnsi="Times New Roman" w:cs="Times New Roman"/>
          <w:bCs/>
          <w:highlight w:val="none"/>
        </w:rPr>
        <w:t>4</w:t>
      </w:r>
      <w:r>
        <w:rPr>
          <w:rFonts w:ascii="Times New Roman" w:hAnsi="Times New Roman" w:cs="Times New Roman"/>
          <w:bCs/>
          <w:highlight w:val="none"/>
        </w:rPr>
        <w:t>）</w:t>
      </w:r>
      <w:r>
        <w:rPr>
          <w:rFonts w:hint="eastAsia" w:ascii="Times New Roman" w:hAnsi="Times New Roman" w:cs="Times New Roman"/>
          <w:bCs/>
          <w:highlight w:val="none"/>
          <w:lang w:val="en-US" w:eastAsia="zh-CN"/>
        </w:rPr>
        <w:t>开启报价文件；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bCs/>
          <w:highlight w:val="none"/>
        </w:rPr>
      </w:pPr>
      <w:r>
        <w:rPr>
          <w:rFonts w:ascii="Times New Roman" w:hAnsi="Times New Roman" w:cs="Times New Roman"/>
          <w:bCs/>
          <w:highlight w:val="none"/>
        </w:rPr>
        <w:t>（</w:t>
      </w:r>
      <w:r>
        <w:rPr>
          <w:rFonts w:hint="eastAsia" w:ascii="Times New Roman" w:hAnsi="Times New Roman" w:cs="Times New Roman"/>
          <w:bCs/>
          <w:highlight w:val="none"/>
        </w:rPr>
        <w:t>5</w:t>
      </w:r>
      <w:r>
        <w:rPr>
          <w:rFonts w:ascii="Times New Roman" w:hAnsi="Times New Roman" w:cs="Times New Roman"/>
          <w:bCs/>
          <w:highlight w:val="none"/>
        </w:rPr>
        <w:t>）</w:t>
      </w:r>
      <w:r>
        <w:rPr>
          <w:rFonts w:hint="eastAsia" w:ascii="Times New Roman" w:hAnsi="Times New Roman" w:cs="Times New Roman"/>
          <w:bCs/>
          <w:highlight w:val="none"/>
        </w:rPr>
        <w:t>启封</w:t>
      </w:r>
      <w:r>
        <w:rPr>
          <w:rFonts w:ascii="Times New Roman" w:hAnsi="Times New Roman" w:cs="Times New Roman"/>
          <w:highlight w:val="none"/>
        </w:rPr>
        <w:t>结束</w:t>
      </w:r>
      <w:r>
        <w:rPr>
          <w:rFonts w:ascii="Times New Roman" w:hAnsi="Times New Roman" w:cs="Times New Roman"/>
          <w:bCs/>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highlight w:val="none"/>
        </w:rPr>
      </w:pPr>
      <w:r>
        <w:rPr>
          <w:rFonts w:ascii="Times New Roman" w:hAnsi="Times New Roman" w:cs="Times New Roman"/>
          <w:bCs/>
          <w:highlight w:val="none"/>
        </w:rPr>
        <w:t>5.2.2</w:t>
      </w:r>
      <w:r>
        <w:rPr>
          <w:rFonts w:ascii="Times New Roman" w:hAnsi="Times New Roman" w:cs="Times New Roman"/>
          <w:highlight w:val="none"/>
        </w:rPr>
        <w:t>供应商</w:t>
      </w:r>
      <w:r>
        <w:rPr>
          <w:rFonts w:hint="eastAsia" w:ascii="Times New Roman" w:hAnsi="Times New Roman" w:cs="Times New Roman"/>
          <w:highlight w:val="none"/>
        </w:rPr>
        <w:t>在</w:t>
      </w:r>
      <w:r>
        <w:rPr>
          <w:rFonts w:ascii="Times New Roman" w:hAnsi="Times New Roman" w:cs="Times New Roman"/>
          <w:highlight w:val="none"/>
        </w:rPr>
        <w:t>启封过程</w:t>
      </w:r>
      <w:r>
        <w:rPr>
          <w:rFonts w:hint="eastAsia" w:ascii="Times New Roman" w:hAnsi="Times New Roman" w:cs="Times New Roman"/>
          <w:highlight w:val="none"/>
        </w:rPr>
        <w:t>中</w:t>
      </w:r>
      <w:r>
        <w:rPr>
          <w:rFonts w:ascii="Times New Roman" w:hAnsi="Times New Roman" w:cs="Times New Roman"/>
          <w:highlight w:val="none"/>
        </w:rPr>
        <w:t>有</w:t>
      </w:r>
      <w:r>
        <w:rPr>
          <w:rFonts w:hint="eastAsia" w:ascii="Times New Roman" w:hAnsi="Times New Roman" w:cs="Times New Roman"/>
          <w:highlight w:val="none"/>
        </w:rPr>
        <w:t>疑问</w:t>
      </w:r>
      <w:r>
        <w:rPr>
          <w:rFonts w:ascii="Times New Roman" w:hAnsi="Times New Roman" w:cs="Times New Roman"/>
          <w:highlight w:val="none"/>
        </w:rPr>
        <w:t>的，应当在</w:t>
      </w:r>
      <w:r>
        <w:rPr>
          <w:rFonts w:hint="eastAsia" w:ascii="Times New Roman" w:hAnsi="Times New Roman" w:cs="Times New Roman"/>
          <w:highlight w:val="none"/>
        </w:rPr>
        <w:t>现场</w:t>
      </w:r>
      <w:r>
        <w:rPr>
          <w:rFonts w:ascii="Times New Roman" w:hAnsi="Times New Roman" w:cs="Times New Roman"/>
          <w:highlight w:val="none"/>
        </w:rPr>
        <w:t>提出</w:t>
      </w:r>
      <w:r>
        <w:rPr>
          <w:rFonts w:hint="eastAsia" w:ascii="Times New Roman" w:hAnsi="Times New Roman" w:cs="Times New Roman"/>
          <w:highlight w:val="none"/>
        </w:rPr>
        <w:t>，</w:t>
      </w:r>
      <w:r>
        <w:rPr>
          <w:rFonts w:ascii="Times New Roman" w:hAnsi="Times New Roman" w:cs="Times New Roman"/>
          <w:highlight w:val="none"/>
        </w:rPr>
        <w:t>采购人</w:t>
      </w:r>
      <w:r>
        <w:rPr>
          <w:rFonts w:hint="eastAsia" w:ascii="Times New Roman" w:hAnsi="Times New Roman" w:cs="Times New Roman"/>
          <w:highlight w:val="none"/>
        </w:rPr>
        <w:t>将</w:t>
      </w:r>
      <w:r>
        <w:rPr>
          <w:rFonts w:ascii="Times New Roman" w:hAnsi="Times New Roman" w:cs="Times New Roman"/>
          <w:highlight w:val="none"/>
        </w:rPr>
        <w:t>当场作出答复。</w:t>
      </w:r>
    </w:p>
    <w:p>
      <w:pPr>
        <w:keepNext/>
        <w:keepLines/>
        <w:spacing w:before="156" w:beforeLines="50" w:after="156" w:afterLines="50"/>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6. 评审</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6.1</w:t>
      </w:r>
      <w:r>
        <w:rPr>
          <w:rFonts w:hint="eastAsia" w:ascii="Times New Roman" w:hAnsi="Times New Roman" w:eastAsia="黑体" w:cs="Times New Roman"/>
          <w:bCs/>
          <w:sz w:val="24"/>
          <w:szCs w:val="32"/>
          <w:highlight w:val="none"/>
        </w:rPr>
        <w:t>评审小组</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评审由采购人</w:t>
      </w:r>
      <w:r>
        <w:rPr>
          <w:rFonts w:hint="eastAsia" w:ascii="Times New Roman" w:hAnsi="Times New Roman" w:cs="Times New Roman"/>
          <w:highlight w:val="none"/>
        </w:rPr>
        <w:t>自行</w:t>
      </w:r>
      <w:r>
        <w:rPr>
          <w:rFonts w:ascii="Times New Roman" w:hAnsi="Times New Roman" w:cs="Times New Roman"/>
          <w:highlight w:val="none"/>
        </w:rPr>
        <w:t>组建的</w:t>
      </w:r>
      <w:r>
        <w:rPr>
          <w:rFonts w:hint="eastAsia" w:ascii="Times New Roman" w:hAnsi="Times New Roman" w:cs="Times New Roman"/>
          <w:highlight w:val="none"/>
        </w:rPr>
        <w:t>评审小组</w:t>
      </w:r>
      <w:r>
        <w:rPr>
          <w:rFonts w:ascii="Times New Roman" w:hAnsi="Times New Roman" w:cs="Times New Roman"/>
          <w:highlight w:val="none"/>
        </w:rPr>
        <w:t>负责。</w:t>
      </w:r>
      <w:r>
        <w:rPr>
          <w:rFonts w:hint="eastAsia" w:ascii="Times New Roman" w:hAnsi="Times New Roman" w:cs="Times New Roman"/>
          <w:highlight w:val="none"/>
        </w:rPr>
        <w:t>评审小组人数：</w:t>
      </w:r>
      <w:r>
        <w:rPr>
          <w:rFonts w:hint="eastAsia" w:ascii="Times New Roman" w:hAnsi="Times New Roman" w:cs="Times New Roman"/>
          <w:highlight w:val="none"/>
          <w:lang w:val="en-US" w:eastAsia="zh-CN"/>
        </w:rPr>
        <w:t>3人及以上单数</w:t>
      </w:r>
      <w:r>
        <w:rPr>
          <w:rFonts w:ascii="Times New Roman" w:hAnsi="Times New Roman" w:cs="Times New Roman"/>
          <w:highlight w:val="none"/>
        </w:rPr>
        <w:t>。</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6.</w:t>
      </w:r>
      <w:r>
        <w:rPr>
          <w:rFonts w:hint="eastAsia" w:ascii="Times New Roman" w:hAnsi="Times New Roman" w:eastAsia="黑体" w:cs="Times New Roman"/>
          <w:bCs/>
          <w:sz w:val="24"/>
          <w:szCs w:val="32"/>
          <w:highlight w:val="none"/>
        </w:rPr>
        <w:t>2</w:t>
      </w:r>
      <w:r>
        <w:rPr>
          <w:rFonts w:ascii="Times New Roman" w:hAnsi="Times New Roman" w:eastAsia="黑体" w:cs="Times New Roman"/>
          <w:bCs/>
          <w:sz w:val="24"/>
          <w:szCs w:val="32"/>
          <w:highlight w:val="none"/>
        </w:rPr>
        <w:t>评审</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highlight w:val="none"/>
        </w:rPr>
      </w:pPr>
      <w:r>
        <w:rPr>
          <w:rFonts w:ascii="Times New Roman" w:hAnsi="Times New Roman" w:cs="Times New Roman"/>
          <w:highlight w:val="none"/>
        </w:rPr>
        <w:t>6.</w:t>
      </w:r>
      <w:r>
        <w:rPr>
          <w:rFonts w:hint="eastAsia" w:ascii="Times New Roman" w:hAnsi="Times New Roman" w:cs="Times New Roman"/>
          <w:highlight w:val="none"/>
        </w:rPr>
        <w:t>2</w:t>
      </w:r>
      <w:r>
        <w:rPr>
          <w:rFonts w:ascii="Times New Roman" w:hAnsi="Times New Roman" w:cs="Times New Roman"/>
          <w:highlight w:val="none"/>
        </w:rPr>
        <w:t>.1</w:t>
      </w:r>
      <w:r>
        <w:rPr>
          <w:rFonts w:hint="eastAsia" w:ascii="Times New Roman" w:hAnsi="Times New Roman" w:cs="Times New Roman"/>
          <w:highlight w:val="none"/>
        </w:rPr>
        <w:t>评审小组</w:t>
      </w:r>
      <w:r>
        <w:rPr>
          <w:rFonts w:ascii="Times New Roman" w:hAnsi="Times New Roman" w:cs="Times New Roman"/>
          <w:highlight w:val="none"/>
        </w:rPr>
        <w:t>按照第三章“评审办法”规定的方法、评审因素、标准和程序对响应文件进行评审。</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highlight w:val="none"/>
        </w:rPr>
      </w:pPr>
      <w:r>
        <w:rPr>
          <w:rFonts w:ascii="Times New Roman" w:hAnsi="Times New Roman" w:cs="Times New Roman"/>
          <w:highlight w:val="none"/>
        </w:rPr>
        <w:t>6.</w:t>
      </w:r>
      <w:r>
        <w:rPr>
          <w:rFonts w:hint="eastAsia" w:ascii="Times New Roman" w:hAnsi="Times New Roman" w:cs="Times New Roman"/>
          <w:highlight w:val="none"/>
        </w:rPr>
        <w:t>2</w:t>
      </w:r>
      <w:r>
        <w:rPr>
          <w:rFonts w:ascii="Times New Roman" w:hAnsi="Times New Roman" w:cs="Times New Roman"/>
          <w:highlight w:val="none"/>
        </w:rPr>
        <w:t>.2评审完成后，</w:t>
      </w:r>
      <w:r>
        <w:rPr>
          <w:rFonts w:hint="eastAsia" w:ascii="Times New Roman" w:hAnsi="Times New Roman" w:cs="Times New Roman"/>
          <w:highlight w:val="none"/>
        </w:rPr>
        <w:t>评审小组</w:t>
      </w:r>
      <w:r>
        <w:rPr>
          <w:rFonts w:ascii="Times New Roman" w:hAnsi="Times New Roman" w:cs="Times New Roman"/>
          <w:highlight w:val="none"/>
        </w:rPr>
        <w:t>应向采购人提交书面评审报告和成交候选人名单。</w:t>
      </w:r>
      <w:r>
        <w:rPr>
          <w:rFonts w:hint="eastAsia" w:ascii="Times New Roman" w:hAnsi="Times New Roman" w:cs="Times New Roman"/>
          <w:highlight w:val="none"/>
        </w:rPr>
        <w:t>评审小组</w:t>
      </w:r>
      <w:r>
        <w:rPr>
          <w:rFonts w:ascii="Times New Roman" w:hAnsi="Times New Roman" w:cs="Times New Roman"/>
          <w:highlight w:val="none"/>
        </w:rPr>
        <w:t>推荐成交候选人的人数</w:t>
      </w:r>
      <w:r>
        <w:rPr>
          <w:rFonts w:hint="eastAsia" w:ascii="Times New Roman" w:hAnsi="Times New Roman" w:cs="Times New Roman"/>
          <w:highlight w:val="none"/>
        </w:rPr>
        <w:t>为：3人（如不足3人，可以按实际数量推荐）</w:t>
      </w:r>
      <w:r>
        <w:rPr>
          <w:rFonts w:ascii="Times New Roman" w:hAnsi="Times New Roman" w:cs="Times New Roman"/>
          <w:highlight w:val="none"/>
        </w:rPr>
        <w:t>。</w:t>
      </w:r>
    </w:p>
    <w:p>
      <w:pPr>
        <w:keepNext/>
        <w:keepLines/>
        <w:spacing w:before="156" w:beforeLines="50" w:after="156" w:afterLines="50"/>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7. 合同授予</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7.1成交候选人公示</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highlight w:val="none"/>
        </w:rPr>
      </w:pPr>
      <w:r>
        <w:rPr>
          <w:rFonts w:ascii="Times New Roman" w:hAnsi="Times New Roman" w:cs="Times New Roman"/>
          <w:highlight w:val="none"/>
        </w:rPr>
        <w:t>采用公开询比方式采购的项目，公示期不得少于</w:t>
      </w:r>
      <w:r>
        <w:rPr>
          <w:rFonts w:hint="eastAsia" w:ascii="Times New Roman" w:hAnsi="Times New Roman" w:cs="Times New Roman"/>
          <w:highlight w:val="none"/>
        </w:rPr>
        <w:t>3</w:t>
      </w:r>
      <w:r>
        <w:rPr>
          <w:rFonts w:ascii="Times New Roman" w:hAnsi="Times New Roman" w:cs="Times New Roman"/>
          <w:highlight w:val="none"/>
        </w:rPr>
        <w:t>日。</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7.2评审结果异议</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highlight w:val="none"/>
        </w:rPr>
      </w:pPr>
      <w:r>
        <w:rPr>
          <w:rFonts w:ascii="Times New Roman" w:hAnsi="Times New Roman" w:cs="Times New Roman"/>
          <w:highlight w:val="none"/>
        </w:rPr>
        <w:t>供应商或其他利害关系人对评审结果有异议的，应在成交候选人公示期间提出。</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7.3成交候选人履约能力审查</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highlight w:val="none"/>
        </w:rPr>
      </w:pPr>
      <w:r>
        <w:rPr>
          <w:rFonts w:ascii="Times New Roman" w:hAnsi="Times New Roman" w:cs="Times New Roman"/>
          <w:highlight w:val="none"/>
        </w:rPr>
        <w:t>成交候选人的经营、财务状况发生较大变化或存在违法行为，采购人认为可能影响其履约能力的，将在发出成交通知书前提请原</w:t>
      </w:r>
      <w:r>
        <w:rPr>
          <w:rFonts w:hint="eastAsia" w:ascii="Times New Roman" w:hAnsi="Times New Roman" w:cs="Times New Roman"/>
          <w:highlight w:val="none"/>
        </w:rPr>
        <w:t>评审小组</w:t>
      </w:r>
      <w:r>
        <w:rPr>
          <w:rFonts w:ascii="Times New Roman" w:hAnsi="Times New Roman" w:cs="Times New Roman"/>
          <w:highlight w:val="none"/>
        </w:rPr>
        <w:t>按照询比文件规定的标准和方法进行审查确认。</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7.4履约保证金</w:t>
      </w:r>
    </w:p>
    <w:p>
      <w:pPr>
        <w:ind w:firstLine="420" w:firstLineChars="200"/>
        <w:rPr>
          <w:rFonts w:ascii="Times New Roman" w:hAnsi="Times New Roman" w:cs="Times New Roman"/>
          <w:highlight w:val="none"/>
        </w:rPr>
      </w:pPr>
      <w:r>
        <w:rPr>
          <w:rFonts w:ascii="Times New Roman" w:hAnsi="Times New Roman" w:cs="Times New Roman"/>
          <w:highlight w:val="none"/>
        </w:rPr>
        <w:t>7.4.1</w:t>
      </w:r>
      <w:r>
        <w:rPr>
          <w:rFonts w:hint="eastAsia" w:ascii="宋体" w:hAnsi="宋体" w:eastAsia="宋体" w:cs="宋体"/>
          <w:kern w:val="2"/>
          <w:sz w:val="21"/>
          <w:szCs w:val="21"/>
          <w:highlight w:val="none"/>
          <w:lang w:val="en-US" w:eastAsia="zh-CN" w:bidi="ar-SA"/>
        </w:rPr>
        <w:t>中标后，响应保证金自动转为履约保证金。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Times New Roman" w:hAnsi="Times New Roman" w:cs="Times New Roman"/>
          <w:highlight w:val="none"/>
        </w:rPr>
      </w:pPr>
      <w:r>
        <w:rPr>
          <w:rFonts w:ascii="Times New Roman" w:hAnsi="Times New Roman" w:cs="Times New Roman"/>
          <w:highlight w:val="none"/>
        </w:rPr>
        <w:t>7.4.2 成交人不能按本章第7.</w:t>
      </w:r>
      <w:r>
        <w:rPr>
          <w:rFonts w:hint="eastAsia" w:ascii="Times New Roman" w:hAnsi="Times New Roman" w:cs="Times New Roman"/>
          <w:highlight w:val="none"/>
        </w:rPr>
        <w:t>4</w:t>
      </w:r>
      <w:r>
        <w:rPr>
          <w:rFonts w:ascii="Times New Roman" w:hAnsi="Times New Roman" w:cs="Times New Roman"/>
          <w:highlight w:val="none"/>
        </w:rPr>
        <w:t>.1项要求提交履约保证金的，视为放弃成交候选人，其响应保证金不予退还，给采购人造成的损失超过响应保证金数额的，成交人还应当对超过部分予以赔偿。</w:t>
      </w:r>
    </w:p>
    <w:p>
      <w:pPr>
        <w:pStyle w:val="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highlight w:val="none"/>
        </w:rPr>
      </w:pPr>
      <w:r>
        <w:rPr>
          <w:rFonts w:hint="eastAsia" w:ascii="Times New Roman" w:hAnsi="Times New Roman" w:cs="Times New Roman"/>
          <w:highlight w:val="none"/>
        </w:rPr>
        <w:t>7.4.3履约保证金在</w:t>
      </w:r>
      <w:r>
        <w:rPr>
          <w:rFonts w:hint="eastAsia" w:ascii="宋体" w:hAnsi="宋体" w:eastAsia="宋体" w:cs="宋体"/>
          <w:kern w:val="2"/>
          <w:sz w:val="21"/>
          <w:szCs w:val="21"/>
          <w:highlight w:val="none"/>
          <w:lang w:val="en-US" w:eastAsia="zh-CN" w:bidi="ar-SA"/>
        </w:rPr>
        <w:t>该项目物资供应整体验收完成后28天内无息退还。</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7.5签订合同</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采购人和成交人应在响应有效期内以及成交通知书发出之日起30日内，根据询比文件和成交人的响应文件订立书面合同。成交人无正当理由拒签合同，在签订合同时向采购人提出附加条件，或不按照询比文件要求提交履约保证金的，采购人取消其成交资格，其响应保证金不予退还；给采购人造成的损失超过响应保证金数额的，成交人还应对超过部分予以赔偿。</w:t>
      </w:r>
    </w:p>
    <w:p>
      <w:pPr>
        <w:keepNext/>
        <w:keepLines/>
        <w:spacing w:before="156" w:beforeLines="50" w:after="156" w:afterLines="50"/>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8. 纪律和监督</w:t>
      </w:r>
    </w:p>
    <w:p>
      <w:pPr>
        <w:keepNext/>
        <w:keepLines/>
        <w:spacing w:before="120" w:after="120"/>
        <w:outlineLvl w:val="2"/>
        <w:rPr>
          <w:rFonts w:hint="eastAsia" w:ascii="Times New Roman" w:hAnsi="Times New Roman" w:eastAsia="黑体" w:cs="Times New Roman"/>
          <w:bCs/>
          <w:sz w:val="24"/>
          <w:szCs w:val="32"/>
          <w:highlight w:val="none"/>
        </w:rPr>
      </w:pPr>
      <w:r>
        <w:rPr>
          <w:rFonts w:hint="eastAsia" w:ascii="Times New Roman" w:hAnsi="Times New Roman" w:eastAsia="黑体" w:cs="Times New Roman"/>
          <w:bCs/>
          <w:sz w:val="24"/>
          <w:szCs w:val="32"/>
          <w:highlight w:val="none"/>
          <w:lang w:val="en-US" w:eastAsia="zh-CN"/>
        </w:rPr>
        <w:t xml:space="preserve">8.1 </w:t>
      </w:r>
      <w:r>
        <w:rPr>
          <w:rFonts w:hint="eastAsia" w:ascii="Times New Roman" w:hAnsi="Times New Roman" w:eastAsia="黑体" w:cs="Times New Roman"/>
          <w:bCs/>
          <w:sz w:val="24"/>
          <w:szCs w:val="32"/>
          <w:highlight w:val="none"/>
        </w:rPr>
        <w:t>对</w:t>
      </w:r>
      <w:r>
        <w:rPr>
          <w:rFonts w:hint="eastAsia" w:ascii="Times New Roman" w:hAnsi="Times New Roman" w:eastAsia="黑体" w:cs="Times New Roman"/>
          <w:bCs/>
          <w:sz w:val="24"/>
          <w:szCs w:val="32"/>
          <w:highlight w:val="none"/>
          <w:lang w:eastAsia="zh-CN"/>
        </w:rPr>
        <w:t>采购</w:t>
      </w:r>
      <w:r>
        <w:rPr>
          <w:rFonts w:hint="eastAsia" w:ascii="Times New Roman" w:hAnsi="Times New Roman" w:eastAsia="黑体" w:cs="Times New Roman"/>
          <w:bCs/>
          <w:sz w:val="24"/>
          <w:szCs w:val="32"/>
          <w:highlight w:val="none"/>
        </w:rPr>
        <w:t>人的纪律要求</w:t>
      </w:r>
    </w:p>
    <w:p>
      <w:pPr>
        <w:spacing w:line="440" w:lineRule="exact"/>
        <w:ind w:firstLine="420"/>
        <w:rPr>
          <w:rFonts w:hint="eastAsia" w:ascii="Times New Roman" w:hAnsi="Times New Roman" w:cs="Times New Roman"/>
          <w:highlight w:val="none"/>
          <w:lang w:val="en-US" w:eastAsia="zh-CN"/>
        </w:rPr>
      </w:pPr>
      <w:r>
        <w:rPr>
          <w:rFonts w:hint="eastAsia" w:ascii="Times New Roman" w:hAnsi="Times New Roman" w:cs="Times New Roman"/>
          <w:highlight w:val="none"/>
          <w:lang w:eastAsia="zh-CN"/>
        </w:rPr>
        <w:t>采购</w:t>
      </w:r>
      <w:r>
        <w:rPr>
          <w:rFonts w:hint="eastAsia" w:ascii="Times New Roman" w:hAnsi="Times New Roman" w:cs="Times New Roman"/>
          <w:highlight w:val="none"/>
        </w:rPr>
        <w:t>人不得泄露</w:t>
      </w:r>
      <w:r>
        <w:rPr>
          <w:rFonts w:hint="eastAsia" w:ascii="Times New Roman" w:hAnsi="Times New Roman" w:cs="Times New Roman"/>
          <w:highlight w:val="none"/>
          <w:lang w:eastAsia="zh-CN"/>
        </w:rPr>
        <w:t>采购</w:t>
      </w:r>
      <w:r>
        <w:rPr>
          <w:rFonts w:hint="eastAsia" w:ascii="Times New Roman" w:hAnsi="Times New Roman" w:cs="Times New Roman"/>
          <w:highlight w:val="none"/>
        </w:rPr>
        <w:t>活动中应当保密的情况和资料， 不得与</w:t>
      </w:r>
      <w:r>
        <w:rPr>
          <w:rFonts w:hint="eastAsia" w:ascii="Times New Roman" w:hAnsi="Times New Roman" w:cs="Times New Roman"/>
          <w:highlight w:val="none"/>
          <w:lang w:eastAsia="zh-CN"/>
        </w:rPr>
        <w:t>响应供应商</w:t>
      </w:r>
      <w:r>
        <w:rPr>
          <w:rFonts w:hint="eastAsia" w:ascii="Times New Roman" w:hAnsi="Times New Roman" w:cs="Times New Roman"/>
          <w:highlight w:val="none"/>
        </w:rPr>
        <w:t>串通损害国家利益、社会公共利益或者他人合法权益。</w:t>
      </w:r>
    </w:p>
    <w:p>
      <w:pPr>
        <w:keepNext/>
        <w:keepLines/>
        <w:spacing w:before="120" w:after="120"/>
        <w:outlineLvl w:val="2"/>
        <w:rPr>
          <w:rFonts w:hint="default" w:ascii="Times New Roman" w:hAnsi="Times New Roman" w:eastAsia="黑体" w:cs="Times New Roman"/>
          <w:bCs/>
          <w:sz w:val="24"/>
          <w:szCs w:val="32"/>
          <w:highlight w:val="none"/>
          <w:lang w:val="en-US" w:eastAsia="zh-CN"/>
        </w:rPr>
      </w:pPr>
      <w:r>
        <w:rPr>
          <w:rFonts w:hint="eastAsia" w:ascii="Times New Roman" w:hAnsi="Times New Roman" w:eastAsia="黑体" w:cs="Times New Roman"/>
          <w:bCs/>
          <w:sz w:val="24"/>
          <w:szCs w:val="32"/>
          <w:highlight w:val="none"/>
          <w:lang w:val="en-US" w:eastAsia="zh-CN"/>
        </w:rPr>
        <w:t>8.2对响应供应商的纪律要求</w:t>
      </w:r>
    </w:p>
    <w:p>
      <w:pPr>
        <w:spacing w:line="440" w:lineRule="exact"/>
        <w:ind w:firstLine="420"/>
        <w:rPr>
          <w:rFonts w:hint="eastAsia" w:ascii="Times New Roman" w:hAnsi="Times New Roman" w:cs="Times New Roman"/>
          <w:highlight w:val="none"/>
        </w:rPr>
      </w:pPr>
      <w:r>
        <w:rPr>
          <w:rFonts w:hint="eastAsia" w:ascii="Times New Roman" w:hAnsi="Times New Roman" w:cs="Times New Roman"/>
          <w:highlight w:val="none"/>
        </w:rPr>
        <w:t>供应商不得相互串通报价或与采购人串通报价，不得向采购人或评审小组成员行贿谋取成交，不得以他人名义报价或以其他方式弄虚作假骗取成交；供应商不得以任何方式干扰、影响评审工作。</w:t>
      </w:r>
    </w:p>
    <w:p>
      <w:pPr>
        <w:keepNext/>
        <w:keepLines/>
        <w:spacing w:before="120" w:after="120"/>
        <w:outlineLvl w:val="2"/>
        <w:rPr>
          <w:rFonts w:hint="eastAsia" w:ascii="Times New Roman" w:hAnsi="Times New Roman" w:eastAsia="黑体" w:cs="Times New Roman"/>
          <w:bCs/>
          <w:sz w:val="24"/>
          <w:szCs w:val="32"/>
          <w:highlight w:val="none"/>
          <w:lang w:val="en-US" w:eastAsia="zh-CN"/>
        </w:rPr>
      </w:pPr>
      <w:r>
        <w:rPr>
          <w:rFonts w:hint="eastAsia" w:ascii="Times New Roman" w:hAnsi="Times New Roman" w:eastAsia="黑体" w:cs="Times New Roman"/>
          <w:bCs/>
          <w:sz w:val="24"/>
          <w:szCs w:val="32"/>
          <w:highlight w:val="none"/>
          <w:lang w:val="en-US" w:eastAsia="zh-CN"/>
        </w:rPr>
        <w:t>8.3 对评审小组成员的纪律要求</w:t>
      </w:r>
    </w:p>
    <w:p>
      <w:pPr>
        <w:spacing w:line="440" w:lineRule="exact"/>
        <w:ind w:firstLine="420"/>
        <w:rPr>
          <w:rFonts w:hint="default" w:ascii="Times New Roman" w:hAnsi="Times New Roman" w:cs="Times New Roman"/>
          <w:highlight w:val="none"/>
          <w:lang w:val="en-US" w:eastAsia="zh-CN"/>
        </w:rPr>
      </w:pPr>
      <w:r>
        <w:rPr>
          <w:rFonts w:hint="eastAsia" w:ascii="Times New Roman" w:hAnsi="Times New Roman" w:cs="Times New Roman"/>
          <w:highlight w:val="none"/>
          <w:lang w:eastAsia="zh-CN"/>
        </w:rPr>
        <w:t>评审小组</w:t>
      </w:r>
      <w:r>
        <w:rPr>
          <w:rFonts w:hint="eastAsia" w:ascii="Times New Roman" w:hAnsi="Times New Roman" w:cs="Times New Roman"/>
          <w:highlight w:val="none"/>
        </w:rPr>
        <w:t>成员不得收受他人的财物或者其他好处，不得向他人透露对</w:t>
      </w:r>
      <w:r>
        <w:rPr>
          <w:rFonts w:hint="eastAsia" w:ascii="Times New Roman" w:hAnsi="Times New Roman" w:cs="Times New Roman"/>
          <w:highlight w:val="none"/>
          <w:lang w:eastAsia="zh-CN"/>
        </w:rPr>
        <w:t>响应</w:t>
      </w:r>
      <w:r>
        <w:rPr>
          <w:rFonts w:hint="eastAsia" w:ascii="Times New Roman" w:hAnsi="Times New Roman" w:cs="Times New Roman"/>
          <w:highlight w:val="none"/>
        </w:rPr>
        <w:t>文件的评审和比较、中标候选人的推荐情况以及</w:t>
      </w:r>
      <w:r>
        <w:rPr>
          <w:rFonts w:hint="eastAsia" w:ascii="Times New Roman" w:hAnsi="Times New Roman" w:cs="Times New Roman"/>
          <w:highlight w:val="none"/>
          <w:lang w:eastAsia="zh-CN"/>
        </w:rPr>
        <w:t>评审</w:t>
      </w:r>
      <w:r>
        <w:rPr>
          <w:rFonts w:hint="eastAsia" w:ascii="Times New Roman" w:hAnsi="Times New Roman" w:cs="Times New Roman"/>
          <w:highlight w:val="none"/>
        </w:rPr>
        <w:t>有关的其他情况。在</w:t>
      </w:r>
      <w:r>
        <w:rPr>
          <w:rFonts w:hint="eastAsia" w:ascii="Times New Roman" w:hAnsi="Times New Roman" w:cs="Times New Roman"/>
          <w:highlight w:val="none"/>
          <w:lang w:eastAsia="zh-CN"/>
        </w:rPr>
        <w:t>评审</w:t>
      </w:r>
      <w:r>
        <w:rPr>
          <w:rFonts w:hint="eastAsia" w:ascii="Times New Roman" w:hAnsi="Times New Roman" w:cs="Times New Roman"/>
          <w:highlight w:val="none"/>
        </w:rPr>
        <w:t>活动中，</w:t>
      </w:r>
      <w:r>
        <w:rPr>
          <w:rFonts w:hint="eastAsia" w:ascii="Times New Roman" w:hAnsi="Times New Roman" w:cs="Times New Roman"/>
          <w:highlight w:val="none"/>
          <w:lang w:eastAsia="zh-CN"/>
        </w:rPr>
        <w:t>评审小组</w:t>
      </w:r>
      <w:r>
        <w:rPr>
          <w:rFonts w:hint="eastAsia" w:ascii="Times New Roman" w:hAnsi="Times New Roman" w:cs="Times New Roman"/>
          <w:highlight w:val="none"/>
        </w:rPr>
        <w:t>成员应当客观、公正地履行职责，遵守职业道德，不得擅离职守，影响评标程序正常进行，不得使用第三章“</w:t>
      </w:r>
      <w:r>
        <w:rPr>
          <w:rFonts w:hint="eastAsia" w:ascii="Times New Roman" w:hAnsi="Times New Roman" w:cs="Times New Roman"/>
          <w:highlight w:val="none"/>
          <w:lang w:eastAsia="zh-CN"/>
        </w:rPr>
        <w:t>评审</w:t>
      </w:r>
      <w:r>
        <w:rPr>
          <w:rFonts w:hint="eastAsia" w:ascii="Times New Roman" w:hAnsi="Times New Roman" w:cs="Times New Roman"/>
          <w:highlight w:val="none"/>
        </w:rPr>
        <w:t>办法”没有规定的评审因素和标准进行</w:t>
      </w:r>
      <w:r>
        <w:rPr>
          <w:rFonts w:hint="eastAsia" w:ascii="Times New Roman" w:hAnsi="Times New Roman" w:cs="Times New Roman"/>
          <w:highlight w:val="none"/>
          <w:lang w:eastAsia="zh-CN"/>
        </w:rPr>
        <w:t>评审</w:t>
      </w:r>
      <w:r>
        <w:rPr>
          <w:rFonts w:hint="eastAsia" w:ascii="Times New Roman" w:hAnsi="Times New Roman" w:cs="Times New Roman"/>
          <w:highlight w:val="none"/>
        </w:rPr>
        <w:t>。</w:t>
      </w:r>
    </w:p>
    <w:p>
      <w:pPr>
        <w:keepNext/>
        <w:keepLines/>
        <w:spacing w:before="156" w:beforeLines="50" w:after="156" w:afterLines="50"/>
        <w:outlineLvl w:val="1"/>
        <w:rPr>
          <w:rFonts w:ascii="Times New Roman" w:hAnsi="Times New Roman" w:eastAsia="黑体" w:cs="Times New Roman"/>
          <w:bCs/>
          <w:sz w:val="24"/>
          <w:szCs w:val="32"/>
          <w:highlight w:val="none"/>
        </w:rPr>
      </w:pPr>
      <w:r>
        <w:rPr>
          <w:rFonts w:hint="eastAsia" w:ascii="Times New Roman" w:hAnsi="Times New Roman" w:eastAsia="黑体" w:cs="Times New Roman"/>
          <w:bCs/>
          <w:sz w:val="24"/>
          <w:szCs w:val="32"/>
          <w:highlight w:val="none"/>
        </w:rPr>
        <w:t xml:space="preserve">9. </w:t>
      </w:r>
      <w:r>
        <w:rPr>
          <w:rFonts w:ascii="Times New Roman" w:hAnsi="Times New Roman" w:eastAsia="黑体" w:cs="Times New Roman"/>
          <w:bCs/>
          <w:sz w:val="24"/>
          <w:szCs w:val="32"/>
          <w:highlight w:val="none"/>
        </w:rPr>
        <w:t>需要补充的其他内容</w:t>
      </w:r>
    </w:p>
    <w:p>
      <w:pPr>
        <w:spacing w:line="440" w:lineRule="exact"/>
        <w:ind w:firstLine="420"/>
        <w:rPr>
          <w:rFonts w:hint="eastAsia" w:ascii="Times New Roman" w:hAnsi="Times New Roman" w:cs="Times New Roman"/>
          <w:highlight w:val="none"/>
        </w:rPr>
      </w:pPr>
      <w:r>
        <w:rPr>
          <w:rFonts w:hint="eastAsia" w:ascii="Times New Roman" w:hAnsi="Times New Roman" w:cs="Times New Roman"/>
          <w:highlight w:val="none"/>
        </w:rPr>
        <w:t>需要补充的其他内容：见供应商须知前附表。</w:t>
      </w:r>
    </w:p>
    <w:bookmarkEnd w:id="50"/>
    <w:bookmarkEnd w:id="51"/>
    <w:bookmarkEnd w:id="52"/>
    <w:p>
      <w:pPr>
        <w:spacing w:line="440" w:lineRule="exact"/>
        <w:ind w:firstLine="420"/>
        <w:rPr>
          <w:rFonts w:hint="eastAsia" w:ascii="Times New Roman" w:hAnsi="Times New Roman" w:cs="Times New Roman"/>
          <w:highlight w:val="none"/>
        </w:rPr>
      </w:pPr>
      <w:r>
        <w:rPr>
          <w:rFonts w:hint="eastAsia" w:ascii="Times New Roman" w:hAnsi="Times New Roman" w:cs="Times New Roman"/>
          <w:highlight w:val="none"/>
        </w:rPr>
        <w:br w:type="page"/>
      </w:r>
    </w:p>
    <w:p>
      <w:pPr>
        <w:pStyle w:val="3"/>
        <w:spacing w:before="312" w:after="312"/>
        <w:rPr>
          <w:rFonts w:ascii="Times New Roman" w:hAnsi="Times New Roman" w:eastAsia="宋体" w:cs="Times New Roman"/>
          <w:highlight w:val="none"/>
        </w:rPr>
      </w:pPr>
      <w:bookmarkStart w:id="53" w:name="_Toc18085"/>
      <w:r>
        <w:rPr>
          <w:rFonts w:ascii="Times New Roman" w:hAnsi="Times New Roman" w:eastAsia="宋体" w:cs="Times New Roman"/>
          <w:highlight w:val="none"/>
        </w:rPr>
        <w:t>评审办法</w:t>
      </w:r>
      <w:bookmarkEnd w:id="53"/>
    </w:p>
    <w:p>
      <w:pPr>
        <w:rPr>
          <w:rFonts w:ascii="Times New Roman" w:hAnsi="Times New Roman" w:eastAsia="宋体" w:cs="Times New Roman"/>
          <w:highlight w:val="none"/>
          <w:vertAlign w:val="baseline"/>
        </w:rPr>
      </w:pPr>
    </w:p>
    <w:p>
      <w:pPr>
        <w:rPr>
          <w:rFonts w:ascii="Times New Roman" w:hAnsi="Times New Roman" w:eastAsia="宋体" w:cs="Times New Roman"/>
          <w:highlight w:val="none"/>
        </w:rPr>
        <w:sectPr>
          <w:footerReference r:id="rId5" w:type="default"/>
          <w:footnotePr>
            <w:numFmt w:val="decimalEnclosedCircleChinese"/>
            <w:numRestart w:val="eachPage"/>
          </w:footnotePr>
          <w:pgSz w:w="11906" w:h="16838"/>
          <w:pgMar w:top="1440" w:right="1797" w:bottom="1440" w:left="1797" w:header="851" w:footer="992" w:gutter="0"/>
          <w:pgNumType w:fmt="decimal"/>
          <w:cols w:space="720" w:num="1"/>
          <w:docGrid w:type="linesAndChars" w:linePitch="312" w:charSpace="0"/>
        </w:sectPr>
      </w:pPr>
    </w:p>
    <w:p>
      <w:pPr>
        <w:spacing w:afterLines="100" w:line="420" w:lineRule="exact"/>
        <w:jc w:val="center"/>
        <w:rPr>
          <w:rFonts w:ascii="Times New Roman" w:hAnsi="Times New Roman" w:eastAsia="黑体" w:cs="Times New Roman"/>
          <w:sz w:val="28"/>
          <w:szCs w:val="28"/>
          <w:highlight w:val="none"/>
        </w:rPr>
      </w:pPr>
      <w:bookmarkStart w:id="54" w:name="_Toc152042304"/>
      <w:bookmarkStart w:id="55" w:name="_Toc144974496"/>
      <w:bookmarkStart w:id="56" w:name="_Toc3834"/>
      <w:bookmarkStart w:id="57" w:name="_Toc457482536"/>
      <w:bookmarkStart w:id="58" w:name="_Toc447808662"/>
      <w:bookmarkStart w:id="59" w:name="_Toc152045528"/>
      <w:bookmarkStart w:id="60" w:name="_Toc14847"/>
      <w:r>
        <w:rPr>
          <w:rFonts w:hint="default" w:ascii="Times New Roman" w:hAnsi="Times New Roman" w:eastAsia="黑体" w:cs="Times New Roman"/>
          <w:color w:val="auto"/>
          <w:sz w:val="28"/>
          <w:szCs w:val="28"/>
          <w:highlight w:val="none"/>
        </w:rPr>
        <w:t>评</w:t>
      </w:r>
      <w:r>
        <w:rPr>
          <w:rFonts w:hint="default" w:ascii="Times New Roman" w:hAnsi="Times New Roman" w:eastAsia="黑体" w:cs="Times New Roman"/>
          <w:color w:val="auto"/>
          <w:sz w:val="28"/>
          <w:szCs w:val="28"/>
          <w:highlight w:val="none"/>
          <w:lang w:val="en-US" w:eastAsia="zh-CN"/>
        </w:rPr>
        <w:t>审</w:t>
      </w:r>
      <w:r>
        <w:rPr>
          <w:rFonts w:hint="default" w:ascii="Times New Roman" w:hAnsi="Times New Roman" w:eastAsia="黑体" w:cs="Times New Roman"/>
          <w:color w:val="auto"/>
          <w:sz w:val="28"/>
          <w:szCs w:val="28"/>
          <w:highlight w:val="none"/>
        </w:rPr>
        <w:t>办法前附表</w:t>
      </w:r>
      <w:r>
        <w:rPr>
          <w:rFonts w:hint="eastAsia" w:ascii="Times New Roman" w:hAnsi="Times New Roman" w:eastAsia="黑体" w:cs="Times New Roman"/>
          <w:color w:val="auto"/>
          <w:sz w:val="28"/>
          <w:szCs w:val="28"/>
          <w:highlight w:val="none"/>
          <w:lang w:eastAsia="zh-CN"/>
        </w:rPr>
        <w:t>（</w:t>
      </w:r>
      <w:r>
        <w:rPr>
          <w:rFonts w:hint="eastAsia" w:ascii="Times New Roman" w:hAnsi="Times New Roman" w:eastAsia="黑体" w:cs="Times New Roman"/>
          <w:color w:val="auto"/>
          <w:sz w:val="28"/>
          <w:szCs w:val="28"/>
          <w:highlight w:val="none"/>
          <w:lang w:val="en-US" w:eastAsia="zh-CN"/>
        </w:rPr>
        <w:t>技术评分最低价法</w:t>
      </w:r>
      <w:r>
        <w:rPr>
          <w:rFonts w:hint="eastAsia" w:ascii="Times New Roman" w:hAnsi="Times New Roman" w:eastAsia="黑体" w:cs="Times New Roman"/>
          <w:color w:val="auto"/>
          <w:sz w:val="28"/>
          <w:szCs w:val="28"/>
          <w:highlight w:val="none"/>
          <w:lang w:eastAsia="zh-CN"/>
        </w:rPr>
        <w:t>）</w:t>
      </w:r>
    </w:p>
    <w:p>
      <w:pPr>
        <w:pStyle w:val="32"/>
        <w:numPr>
          <w:ilvl w:val="0"/>
          <w:numId w:val="0"/>
        </w:numPr>
        <w:spacing w:before="0"/>
        <w:outlineLvl w:val="9"/>
        <w:rPr>
          <w:rFonts w:hint="default" w:ascii="Times New Roman" w:hAnsi="Times New Roman" w:eastAsia="黑体" w:cs="Times New Roman"/>
          <w:color w:val="auto"/>
          <w:sz w:val="28"/>
          <w:szCs w:val="28"/>
          <w:highlight w:val="none"/>
          <w:lang w:val="en-US" w:eastAsia="zh-CN"/>
        </w:rPr>
      </w:pPr>
      <w:r>
        <w:rPr>
          <w:rFonts w:hint="eastAsia" w:ascii="宋体" w:hAnsi="宋体" w:eastAsia="宋体"/>
          <w:b/>
          <w:bCs/>
          <w:szCs w:val="28"/>
          <w:highlight w:val="none"/>
        </w:rPr>
        <w:t>前附表</w:t>
      </w:r>
      <w:bookmarkEnd w:id="54"/>
      <w:bookmarkEnd w:id="55"/>
      <w:bookmarkEnd w:id="56"/>
      <w:bookmarkEnd w:id="57"/>
      <w:bookmarkEnd w:id="58"/>
      <w:bookmarkEnd w:id="59"/>
      <w:bookmarkEnd w:id="60"/>
      <w:r>
        <w:rPr>
          <w:rFonts w:hint="eastAsia" w:ascii="宋体" w:hAnsi="宋体" w:eastAsia="宋体"/>
          <w:b/>
          <w:bCs/>
          <w:szCs w:val="28"/>
          <w:highlight w:val="none"/>
        </w:rPr>
        <w:t>A</w:t>
      </w:r>
    </w:p>
    <w:tbl>
      <w:tblPr>
        <w:tblStyle w:val="21"/>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8"/>
        <w:gridCol w:w="1060"/>
        <w:gridCol w:w="1774"/>
        <w:gridCol w:w="5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748" w:type="dxa"/>
            <w:gridSpan w:val="2"/>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b/>
                <w:bCs/>
                <w:kern w:val="0"/>
                <w:sz w:val="21"/>
                <w:szCs w:val="21"/>
                <w:highlight w:val="none"/>
              </w:rPr>
              <w:t>条款号</w:t>
            </w:r>
          </w:p>
        </w:tc>
        <w:tc>
          <w:tcPr>
            <w:tcW w:w="1774" w:type="dxa"/>
            <w:vAlign w:val="center"/>
          </w:tcPr>
          <w:p>
            <w:pPr>
              <w:widowControl/>
              <w:ind w:firstLine="105" w:firstLineChars="50"/>
              <w:jc w:val="center"/>
              <w:rPr>
                <w:rFonts w:hint="eastAsia" w:ascii="宋体" w:hAnsi="宋体" w:eastAsia="宋体" w:cs="宋体"/>
                <w:color w:val="auto"/>
                <w:kern w:val="0"/>
                <w:sz w:val="21"/>
                <w:szCs w:val="21"/>
                <w:highlight w:val="none"/>
              </w:rPr>
            </w:pPr>
            <w:r>
              <w:rPr>
                <w:rFonts w:hint="eastAsia" w:ascii="宋体" w:hAnsi="宋体" w:eastAsia="宋体" w:cs="宋体"/>
                <w:b/>
                <w:bCs/>
                <w:kern w:val="0"/>
                <w:sz w:val="21"/>
                <w:szCs w:val="21"/>
                <w:highlight w:val="none"/>
              </w:rPr>
              <w:t>评审因素</w:t>
            </w:r>
          </w:p>
        </w:tc>
        <w:tc>
          <w:tcPr>
            <w:tcW w:w="5676" w:type="dxa"/>
            <w:vAlign w:val="center"/>
          </w:tcPr>
          <w:p>
            <w:pPr>
              <w:widowControl/>
              <w:ind w:firstLine="105" w:firstLineChars="50"/>
              <w:jc w:val="center"/>
              <w:rPr>
                <w:rFonts w:hint="eastAsia" w:ascii="宋体" w:hAnsi="宋体" w:eastAsia="宋体" w:cs="宋体"/>
                <w:color w:val="auto"/>
                <w:kern w:val="0"/>
                <w:sz w:val="21"/>
                <w:szCs w:val="21"/>
                <w:highlight w:val="none"/>
              </w:rPr>
            </w:pPr>
            <w:r>
              <w:rPr>
                <w:rFonts w:hint="eastAsia" w:ascii="宋体" w:hAnsi="宋体" w:eastAsia="宋体" w:cs="宋体"/>
                <w:b/>
                <w:bCs/>
                <w:kern w:val="0"/>
                <w:sz w:val="21"/>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8" w:type="dxa"/>
            <w:vAlign w:val="center"/>
          </w:tcPr>
          <w:p>
            <w:pPr>
              <w:widowControl/>
              <w:jc w:val="center"/>
              <w:rPr>
                <w:rFonts w:hint="eastAsia" w:ascii="宋体" w:hAnsi="宋体" w:eastAsia="宋体" w:cs="宋体"/>
                <w:bCs/>
                <w:color w:val="auto"/>
                <w:kern w:val="0"/>
                <w:sz w:val="21"/>
                <w:szCs w:val="21"/>
                <w:highlight w:val="none"/>
              </w:rPr>
            </w:pPr>
            <w:r>
              <w:rPr>
                <w:rFonts w:hint="eastAsia" w:ascii="宋体" w:hAnsi="宋体" w:eastAsia="宋体" w:cs="宋体"/>
                <w:bCs/>
                <w:kern w:val="0"/>
                <w:sz w:val="21"/>
                <w:szCs w:val="21"/>
                <w:highlight w:val="none"/>
              </w:rPr>
              <w:t>1</w:t>
            </w:r>
          </w:p>
        </w:tc>
        <w:tc>
          <w:tcPr>
            <w:tcW w:w="1060" w:type="dxa"/>
            <w:vAlign w:val="center"/>
          </w:tcPr>
          <w:p>
            <w:pPr>
              <w:widowControl/>
              <w:jc w:val="center"/>
              <w:rPr>
                <w:rFonts w:hint="eastAsia" w:ascii="宋体" w:hAnsi="宋体" w:eastAsia="宋体" w:cs="宋体"/>
                <w:bCs/>
                <w:color w:val="auto"/>
                <w:kern w:val="0"/>
                <w:sz w:val="21"/>
                <w:szCs w:val="21"/>
                <w:highlight w:val="none"/>
              </w:rPr>
            </w:pPr>
            <w:r>
              <w:rPr>
                <w:rFonts w:hint="eastAsia" w:ascii="宋体" w:hAnsi="宋体" w:eastAsia="宋体" w:cs="宋体"/>
                <w:bCs/>
                <w:kern w:val="0"/>
                <w:sz w:val="21"/>
                <w:szCs w:val="21"/>
                <w:highlight w:val="none"/>
              </w:rPr>
              <w:t>评审方法</w:t>
            </w:r>
          </w:p>
        </w:tc>
        <w:tc>
          <w:tcPr>
            <w:tcW w:w="1774" w:type="dxa"/>
            <w:tcMar>
              <w:left w:w="75" w:type="dxa"/>
            </w:tcMar>
            <w:vAlign w:val="center"/>
          </w:tcPr>
          <w:p>
            <w:pPr>
              <w:widowControl/>
              <w:adjustRightInd w:val="0"/>
              <w:snapToGrid w:val="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成交候选人</w:t>
            </w:r>
          </w:p>
          <w:p>
            <w:pPr>
              <w:widowControl/>
              <w:adjustRightInd w:val="0"/>
              <w:snapToGrid w:val="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highlight w:val="none"/>
              </w:rPr>
              <w:t>排序方法</w:t>
            </w:r>
          </w:p>
        </w:tc>
        <w:tc>
          <w:tcPr>
            <w:tcW w:w="5676" w:type="dxa"/>
            <w:tcMar>
              <w:left w:w="75" w:type="dxa"/>
            </w:tcMar>
            <w:vAlign w:val="center"/>
          </w:tcPr>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 xml:space="preserve">评审委员会对通过初步评审的投标人的商务及技术文件进行评分，按得分由高到低排序确定前N名。对排名前N名的投标人的报价文件进行评审，按照评标价由低到高的顺序推荐3名中标候选人。评标委员会按评标价由低到高顺序推荐中标候选人，评标价相等时，评标委员会依次按照以下优先顺序推荐中标候选人：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）商务及技术文件得分较高的投标人优先；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）投标文件提供的业绩数量多的投标人优先； </w:t>
            </w:r>
          </w:p>
          <w:p>
            <w:pPr>
              <w:keepNext w:val="0"/>
              <w:keepLines w:val="0"/>
              <w:widowControl/>
              <w:suppressLineNumbers w:val="0"/>
              <w:jc w:val="left"/>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）投标文件提供的业绩累计合同金额大的投标人优先。 </w:t>
            </w:r>
          </w:p>
        </w:tc>
      </w:tr>
    </w:tbl>
    <w:tbl>
      <w:tblPr>
        <w:tblStyle w:val="21"/>
        <w:tblpPr w:leftFromText="180" w:rightFromText="180" w:vertAnchor="text" w:horzAnchor="page" w:tblpX="1910" w:tblpY="200"/>
        <w:tblOverlap w:val="never"/>
        <w:tblW w:w="53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945"/>
        <w:gridCol w:w="6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875" w:type="dxa"/>
            <w:vAlign w:val="center"/>
          </w:tcPr>
          <w:p>
            <w:pPr>
              <w:pStyle w:val="7"/>
              <w:adjustRightInd w:val="0"/>
              <w:snapToGrid w:val="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2.2.2</w:t>
            </w:r>
          </w:p>
        </w:tc>
        <w:tc>
          <w:tcPr>
            <w:tcW w:w="1945" w:type="dxa"/>
            <w:vAlign w:val="center"/>
          </w:tcPr>
          <w:p>
            <w:pPr>
              <w:keepNext w:val="0"/>
              <w:keepLines w:val="0"/>
              <w:widowControl/>
              <w:suppressLineNumbers w:val="0"/>
              <w:jc w:val="center"/>
              <w:rPr>
                <w:rFonts w:hint="eastAsia" w:ascii="宋体" w:hAnsi="宋体" w:eastAsia="宋体" w:cs="宋体"/>
                <w:sz w:val="21"/>
                <w:szCs w:val="21"/>
                <w:highlight w:val="none"/>
                <w:lang w:val="en-US" w:eastAsia="zh-CN"/>
              </w:rPr>
            </w:pPr>
            <w:r>
              <w:rPr>
                <w:rFonts w:hint="eastAsia" w:ascii="Times New Roman" w:hAnsi="Times New Roman" w:eastAsia="宋体" w:cs="Times New Roman"/>
                <w:highlight w:val="none"/>
                <w:vertAlign w:val="baseline"/>
                <w:lang w:val="en-US" w:eastAsia="zh-CN"/>
              </w:rPr>
              <w:t>通过商务及技术文件评审，打分前N名值的确定</w:t>
            </w:r>
          </w:p>
        </w:tc>
        <w:tc>
          <w:tcPr>
            <w:tcW w:w="6375" w:type="dxa"/>
            <w:vAlign w:val="center"/>
          </w:tcPr>
          <w:tbl>
            <w:tblPr>
              <w:tblStyle w:val="22"/>
              <w:tblpPr w:leftFromText="180" w:rightFromText="180" w:vertAnchor="text" w:horzAnchor="page" w:tblpX="366" w:tblpY="23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5"/>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vAlign w:val="center"/>
                </w:tcPr>
                <w:p>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通过资格审查的投标人数量（T）</w:t>
                  </w:r>
                </w:p>
              </w:tc>
              <w:tc>
                <w:tcPr>
                  <w:tcW w:w="2535" w:type="dxa"/>
                  <w:vAlign w:val="center"/>
                </w:tcPr>
                <w:p>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商务及技术文件评审打分排名（N）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vAlign w:val="center"/>
                </w:tcPr>
                <w:p>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3≤T</w:t>
                  </w:r>
                </w:p>
              </w:tc>
              <w:tc>
                <w:tcPr>
                  <w:tcW w:w="2535" w:type="dxa"/>
                  <w:vAlign w:val="center"/>
                </w:tcPr>
                <w:p>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N=3</w:t>
                  </w:r>
                </w:p>
              </w:tc>
            </w:tr>
          </w:tbl>
          <w:p>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p>
          <w:p>
            <w:pPr>
              <w:keepNext w:val="0"/>
              <w:keepLines w:val="0"/>
              <w:widowControl/>
              <w:suppressLineNumbers w:val="0"/>
              <w:jc w:val="left"/>
              <w:rPr>
                <w:rFonts w:hint="eastAsia" w:ascii="宋体" w:hAnsi="宋体" w:eastAsia="宋体" w:cs="宋体"/>
                <w:sz w:val="21"/>
                <w:szCs w:val="21"/>
                <w:highlight w:val="none"/>
                <w:lang w:val="en-US" w:eastAsia="zh-CN"/>
              </w:rPr>
            </w:pPr>
            <w:r>
              <w:rPr>
                <w:rFonts w:hint="eastAsia" w:ascii="宋体" w:hAnsi="宋体" w:eastAsia="宋体" w:cs="宋体"/>
                <w:color w:val="000000"/>
                <w:kern w:val="0"/>
                <w:sz w:val="21"/>
                <w:szCs w:val="21"/>
                <w:highlight w:val="none"/>
                <w:lang w:val="en-US" w:eastAsia="zh-CN" w:bidi="ar"/>
              </w:rPr>
              <w:t xml:space="preserve">说明：如出现 </w:t>
            </w:r>
            <w:r>
              <w:rPr>
                <w:rFonts w:hint="default" w:ascii="Times New Roman" w:hAnsi="Times New Roman" w:eastAsia="宋体" w:cs="Times New Roman"/>
                <w:color w:val="000000"/>
                <w:kern w:val="0"/>
                <w:sz w:val="21"/>
                <w:szCs w:val="21"/>
                <w:highlight w:val="none"/>
                <w:lang w:val="en-US" w:eastAsia="zh-CN" w:bidi="ar"/>
              </w:rPr>
              <w:t xml:space="preserve">A </w:t>
            </w:r>
            <w:r>
              <w:rPr>
                <w:rFonts w:hint="eastAsia" w:ascii="宋体" w:hAnsi="宋体" w:eastAsia="宋体" w:cs="宋体"/>
                <w:color w:val="000000"/>
                <w:kern w:val="0"/>
                <w:sz w:val="21"/>
                <w:szCs w:val="21"/>
                <w:highlight w:val="none"/>
                <w:lang w:val="en-US" w:eastAsia="zh-CN" w:bidi="ar"/>
              </w:rPr>
              <w:t xml:space="preserve">家投标人商务技术文件得分相同的情况，其名次并列为第 </w:t>
            </w:r>
            <w:r>
              <w:rPr>
                <w:rFonts w:hint="default" w:ascii="Times New Roman" w:hAnsi="Times New Roman" w:eastAsia="宋体" w:cs="Times New Roman"/>
                <w:color w:val="000000"/>
                <w:kern w:val="0"/>
                <w:sz w:val="21"/>
                <w:szCs w:val="21"/>
                <w:highlight w:val="none"/>
                <w:lang w:val="en-US" w:eastAsia="zh-CN" w:bidi="ar"/>
              </w:rPr>
              <w:t xml:space="preserve">B </w:t>
            </w:r>
            <w:r>
              <w:rPr>
                <w:rFonts w:hint="eastAsia" w:ascii="宋体" w:hAnsi="宋体" w:eastAsia="宋体" w:cs="宋体"/>
                <w:color w:val="000000"/>
                <w:kern w:val="0"/>
                <w:sz w:val="21"/>
                <w:szCs w:val="21"/>
                <w:highlight w:val="none"/>
                <w:lang w:val="en-US" w:eastAsia="zh-CN" w:bidi="ar"/>
              </w:rPr>
              <w:t xml:space="preserve">名，则排名在 </w:t>
            </w:r>
            <w:r>
              <w:rPr>
                <w:rFonts w:hint="default" w:ascii="Times New Roman" w:hAnsi="Times New Roman" w:eastAsia="宋体" w:cs="Times New Roman"/>
                <w:color w:val="000000"/>
                <w:kern w:val="0"/>
                <w:sz w:val="21"/>
                <w:szCs w:val="21"/>
                <w:highlight w:val="none"/>
                <w:lang w:val="en-US" w:eastAsia="zh-CN" w:bidi="ar"/>
              </w:rPr>
              <w:t xml:space="preserve">A </w:t>
            </w:r>
            <w:r>
              <w:rPr>
                <w:rFonts w:hint="eastAsia" w:ascii="宋体" w:hAnsi="宋体" w:eastAsia="宋体" w:cs="宋体"/>
                <w:color w:val="000000"/>
                <w:kern w:val="0"/>
                <w:sz w:val="21"/>
                <w:szCs w:val="21"/>
                <w:highlight w:val="none"/>
                <w:lang w:val="en-US" w:eastAsia="zh-CN" w:bidi="ar"/>
              </w:rPr>
              <w:t xml:space="preserve">家投标人之后的投标人的名次从第 </w:t>
            </w:r>
            <w:r>
              <w:rPr>
                <w:rFonts w:hint="default" w:ascii="Times New Roman" w:hAnsi="Times New Roman" w:eastAsia="宋体" w:cs="Times New Roman"/>
                <w:color w:val="000000"/>
                <w:kern w:val="0"/>
                <w:sz w:val="21"/>
                <w:szCs w:val="21"/>
                <w:highlight w:val="none"/>
                <w:lang w:val="en-US" w:eastAsia="zh-CN" w:bidi="ar"/>
              </w:rPr>
              <w:t xml:space="preserve">B+A </w:t>
            </w:r>
            <w:r>
              <w:rPr>
                <w:rFonts w:hint="eastAsia" w:ascii="宋体" w:hAnsi="宋体" w:eastAsia="宋体" w:cs="宋体"/>
                <w:color w:val="000000"/>
                <w:kern w:val="0"/>
                <w:sz w:val="21"/>
                <w:szCs w:val="21"/>
                <w:highlight w:val="none"/>
                <w:lang w:val="en-US" w:eastAsia="zh-CN" w:bidi="ar"/>
              </w:rPr>
              <w:t xml:space="preserve">名开始依次计列。 </w:t>
            </w:r>
          </w:p>
        </w:tc>
      </w:tr>
    </w:tbl>
    <w:p>
      <w:pPr>
        <w:rPr>
          <w:rFonts w:hint="eastAsia"/>
          <w:highlight w:val="none"/>
        </w:rPr>
      </w:pPr>
    </w:p>
    <w:tbl>
      <w:tblPr>
        <w:tblStyle w:val="21"/>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4"/>
        <w:gridCol w:w="1096"/>
        <w:gridCol w:w="7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780" w:type="dxa"/>
            <w:gridSpan w:val="2"/>
            <w:vAlign w:val="center"/>
          </w:tcPr>
          <w:p>
            <w:pPr>
              <w:widowControl/>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条款号</w:t>
            </w:r>
          </w:p>
        </w:tc>
        <w:tc>
          <w:tcPr>
            <w:tcW w:w="7418" w:type="dxa"/>
            <w:vAlign w:val="center"/>
          </w:tcPr>
          <w:p>
            <w:pPr>
              <w:widowControl/>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5" w:hRule="atLeast"/>
        </w:trPr>
        <w:tc>
          <w:tcPr>
            <w:tcW w:w="684" w:type="dxa"/>
            <w:vAlign w:val="center"/>
          </w:tcPr>
          <w:p>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2.1.1</w:t>
            </w:r>
          </w:p>
        </w:tc>
        <w:tc>
          <w:tcPr>
            <w:tcW w:w="1096" w:type="dxa"/>
            <w:vAlign w:val="center"/>
          </w:tcPr>
          <w:p>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形式评审</w:t>
            </w:r>
          </w:p>
          <w:p>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与响应性</w:t>
            </w:r>
          </w:p>
          <w:p>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评审标准</w:t>
            </w:r>
          </w:p>
          <w:p>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lang w:eastAsia="zh-CN"/>
              </w:rPr>
            </w:pPr>
          </w:p>
        </w:tc>
        <w:tc>
          <w:tcPr>
            <w:tcW w:w="7418" w:type="dxa"/>
            <w:tcMar>
              <w:left w:w="75" w:type="dxa"/>
            </w:tcMar>
            <w:vAlign w:val="center"/>
          </w:tcPr>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 xml:space="preserve">第一个信封（商务及技术文件）评审标准：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）响应文件按照询比文件规定的格式、内容填写，字迹清晰可辨。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）响应文件上法定代表人或其委托代理人的签字、供应商的单位盖章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 xml:space="preserve">齐全，符合询比文件规定。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）投标人按照询比文件的规定提供了投标保证金。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4</w:t>
            </w:r>
            <w:r>
              <w:rPr>
                <w:rFonts w:hint="eastAsia" w:ascii="宋体" w:hAnsi="宋体" w:eastAsia="宋体" w:cs="宋体"/>
                <w:color w:val="000000"/>
                <w:kern w:val="0"/>
                <w:sz w:val="22"/>
                <w:szCs w:val="22"/>
                <w:highlight w:val="none"/>
                <w:lang w:val="en-US" w:eastAsia="zh-CN" w:bidi="ar"/>
              </w:rPr>
              <w:t xml:space="preserve">）本项目不接受联合体投标。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5</w:t>
            </w:r>
            <w:r>
              <w:rPr>
                <w:rFonts w:hint="eastAsia" w:ascii="宋体" w:hAnsi="宋体" w:eastAsia="宋体" w:cs="宋体"/>
                <w:color w:val="000000"/>
                <w:kern w:val="0"/>
                <w:sz w:val="22"/>
                <w:szCs w:val="22"/>
                <w:highlight w:val="none"/>
                <w:lang w:val="en-US" w:eastAsia="zh-CN" w:bidi="ar"/>
              </w:rPr>
              <w:t xml:space="preserve">）同一投标人未提交两个以上不同的投标文件。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6</w:t>
            </w:r>
            <w:r>
              <w:rPr>
                <w:rFonts w:hint="eastAsia" w:ascii="宋体" w:hAnsi="宋体" w:eastAsia="宋体" w:cs="宋体"/>
                <w:color w:val="000000"/>
                <w:kern w:val="0"/>
                <w:sz w:val="22"/>
                <w:szCs w:val="22"/>
                <w:highlight w:val="none"/>
                <w:lang w:val="en-US" w:eastAsia="zh-CN" w:bidi="ar"/>
              </w:rPr>
              <w:t>）</w:t>
            </w:r>
            <w:r>
              <w:rPr>
                <w:rFonts w:hint="eastAsia" w:ascii="宋体" w:hAnsi="宋体" w:eastAsia="宋体" w:cs="宋体"/>
                <w:b w:val="0"/>
                <w:bCs w:val="0"/>
                <w:color w:val="000000"/>
                <w:kern w:val="0"/>
                <w:sz w:val="22"/>
                <w:szCs w:val="22"/>
                <w:highlight w:val="none"/>
                <w:lang w:val="en-US" w:eastAsia="zh-CN" w:bidi="ar"/>
              </w:rPr>
              <w:t>商务及技术文件中未出现有关投标报价的内容。</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7</w:t>
            </w:r>
            <w:r>
              <w:rPr>
                <w:rFonts w:hint="eastAsia" w:ascii="宋体" w:hAnsi="宋体" w:eastAsia="宋体" w:cs="宋体"/>
                <w:color w:val="000000"/>
                <w:kern w:val="0"/>
                <w:sz w:val="22"/>
                <w:szCs w:val="22"/>
                <w:highlight w:val="none"/>
                <w:lang w:val="en-US" w:eastAsia="zh-CN" w:bidi="ar"/>
              </w:rPr>
              <w:t xml:space="preserve">）投标人对其信誉情况的承诺与事实相符。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8</w:t>
            </w:r>
            <w:r>
              <w:rPr>
                <w:rFonts w:hint="eastAsia" w:ascii="宋体" w:hAnsi="宋体" w:eastAsia="宋体" w:cs="宋体"/>
                <w:color w:val="000000"/>
                <w:kern w:val="0"/>
                <w:sz w:val="22"/>
                <w:szCs w:val="22"/>
                <w:highlight w:val="none"/>
                <w:lang w:val="en-US" w:eastAsia="zh-CN" w:bidi="ar"/>
              </w:rPr>
              <w:t xml:space="preserve">）投标文件未附有招标人不能接受的条件。 </w:t>
            </w:r>
          </w:p>
          <w:p>
            <w:pPr>
              <w:keepNext w:val="0"/>
              <w:keepLines w:val="0"/>
              <w:widowControl/>
              <w:suppressLineNumbers w:val="0"/>
              <w:jc w:val="left"/>
              <w:rPr>
                <w:highlight w:val="none"/>
              </w:rPr>
            </w:pPr>
            <w:r>
              <w:rPr>
                <w:rFonts w:hint="eastAsia" w:ascii="黑体" w:hAnsi="宋体" w:eastAsia="黑体" w:cs="黑体"/>
                <w:color w:val="000000"/>
                <w:kern w:val="0"/>
                <w:sz w:val="22"/>
                <w:szCs w:val="22"/>
                <w:highlight w:val="none"/>
                <w:lang w:val="en-US" w:eastAsia="zh-CN" w:bidi="ar"/>
              </w:rPr>
              <w:t xml:space="preserve">第二个信封（报价文件）评审标准：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）报价文件按照询比文件规定的格式、内容填写，字迹清晰可辨： </w:t>
            </w:r>
          </w:p>
          <w:p>
            <w:pPr>
              <w:keepNext w:val="0"/>
              <w:keepLines w:val="0"/>
              <w:widowControl/>
              <w:suppressLineNumbers w:val="0"/>
              <w:jc w:val="left"/>
              <w:rPr>
                <w:highlight w:val="none"/>
              </w:rPr>
            </w:pPr>
            <w:r>
              <w:rPr>
                <w:rFonts w:hint="eastAsia" w:ascii="Times New Roman" w:hAnsi="Times New Roman" w:eastAsia="宋体" w:cs="Times New Roman"/>
                <w:color w:val="000000"/>
                <w:kern w:val="0"/>
                <w:sz w:val="22"/>
                <w:szCs w:val="22"/>
                <w:highlight w:val="none"/>
                <w:lang w:val="en-US" w:eastAsia="zh-CN" w:bidi="ar"/>
              </w:rPr>
              <w:t>a</w:t>
            </w:r>
            <w:r>
              <w:rPr>
                <w:rFonts w:hint="default" w:ascii="Times New Roman" w:hAnsi="Times New Roman" w:eastAsia="宋体" w:cs="Times New Roman"/>
                <w:color w:val="000000"/>
                <w:kern w:val="0"/>
                <w:sz w:val="22"/>
                <w:szCs w:val="22"/>
                <w:highlight w:val="none"/>
                <w:lang w:val="en-US" w:eastAsia="zh-CN" w:bidi="ar"/>
              </w:rPr>
              <w:t>.</w:t>
            </w:r>
            <w:r>
              <w:rPr>
                <w:rFonts w:hint="eastAsia" w:ascii="宋体" w:hAnsi="宋体" w:eastAsia="宋体" w:cs="宋体"/>
                <w:color w:val="000000"/>
                <w:kern w:val="0"/>
                <w:sz w:val="22"/>
                <w:szCs w:val="22"/>
                <w:highlight w:val="none"/>
                <w:lang w:val="en-US" w:eastAsia="zh-CN" w:bidi="ar"/>
              </w:rPr>
              <w:t xml:space="preserve">按询比文件规定填报了采购人名称、项目名称、补遗书编号（如有）、投标价（包括大写金额和小写金额）； </w:t>
            </w:r>
          </w:p>
          <w:p>
            <w:pPr>
              <w:keepNext w:val="0"/>
              <w:keepLines w:val="0"/>
              <w:widowControl/>
              <w:suppressLineNumbers w:val="0"/>
              <w:jc w:val="left"/>
              <w:rPr>
                <w:highlight w:val="none"/>
              </w:rPr>
            </w:pPr>
            <w:r>
              <w:rPr>
                <w:rFonts w:hint="default" w:ascii="Times New Roman" w:hAnsi="Times New Roman" w:eastAsia="宋体" w:cs="Times New Roman"/>
                <w:color w:val="000000"/>
                <w:kern w:val="0"/>
                <w:sz w:val="22"/>
                <w:szCs w:val="22"/>
                <w:highlight w:val="none"/>
                <w:lang w:val="en-US" w:eastAsia="zh-CN" w:bidi="ar"/>
              </w:rPr>
              <w:t>b.</w:t>
            </w:r>
            <w:r>
              <w:rPr>
                <w:rFonts w:hint="eastAsia" w:ascii="宋体" w:hAnsi="宋体" w:eastAsia="宋体" w:cs="宋体"/>
                <w:color w:val="000000"/>
                <w:kern w:val="0"/>
                <w:sz w:val="22"/>
                <w:szCs w:val="22"/>
                <w:highlight w:val="none"/>
                <w:lang w:val="en-US" w:eastAsia="zh-CN" w:bidi="ar"/>
              </w:rPr>
              <w:t xml:space="preserve">已标价工程量清单及说明文字与询比文件规定一致，未进行实质性修改和删减； </w:t>
            </w:r>
          </w:p>
          <w:p>
            <w:pPr>
              <w:keepNext w:val="0"/>
              <w:keepLines w:val="0"/>
              <w:widowControl/>
              <w:suppressLineNumbers w:val="0"/>
              <w:jc w:val="left"/>
              <w:rPr>
                <w:highlight w:val="none"/>
              </w:rPr>
            </w:pPr>
            <w:r>
              <w:rPr>
                <w:rFonts w:hint="default" w:ascii="Times New Roman" w:hAnsi="Times New Roman" w:eastAsia="宋体" w:cs="Times New Roman"/>
                <w:color w:val="000000"/>
                <w:kern w:val="0"/>
                <w:sz w:val="22"/>
                <w:szCs w:val="22"/>
                <w:highlight w:val="none"/>
                <w:lang w:val="en-US" w:eastAsia="zh-CN" w:bidi="ar"/>
              </w:rPr>
              <w:t>c.</w:t>
            </w:r>
            <w:r>
              <w:rPr>
                <w:rFonts w:hint="eastAsia" w:ascii="宋体" w:hAnsi="宋体" w:eastAsia="宋体" w:cs="宋体"/>
                <w:color w:val="000000"/>
                <w:kern w:val="0"/>
                <w:sz w:val="22"/>
                <w:szCs w:val="22"/>
                <w:highlight w:val="none"/>
                <w:lang w:val="en-US" w:eastAsia="zh-CN" w:bidi="ar"/>
              </w:rPr>
              <w:t xml:space="preserve">工程量清单中的投标报价与报价函大写金额报价一致； </w:t>
            </w:r>
          </w:p>
          <w:p>
            <w:pPr>
              <w:keepNext w:val="0"/>
              <w:keepLines w:val="0"/>
              <w:widowControl/>
              <w:suppressLineNumbers w:val="0"/>
              <w:jc w:val="left"/>
              <w:rPr>
                <w:highlight w:val="none"/>
              </w:rPr>
            </w:pPr>
            <w:r>
              <w:rPr>
                <w:rFonts w:hint="default" w:ascii="Times New Roman" w:hAnsi="Times New Roman" w:eastAsia="宋体" w:cs="Times New Roman"/>
                <w:color w:val="000000"/>
                <w:kern w:val="0"/>
                <w:sz w:val="22"/>
                <w:szCs w:val="22"/>
                <w:highlight w:val="none"/>
                <w:lang w:val="en-US" w:eastAsia="zh-CN" w:bidi="ar"/>
              </w:rPr>
              <w:t>d.</w:t>
            </w:r>
            <w:r>
              <w:rPr>
                <w:rFonts w:hint="eastAsia" w:ascii="宋体" w:hAnsi="宋体" w:eastAsia="宋体" w:cs="宋体"/>
                <w:color w:val="000000"/>
                <w:kern w:val="0"/>
                <w:sz w:val="22"/>
                <w:szCs w:val="22"/>
                <w:highlight w:val="none"/>
                <w:lang w:val="en-US" w:eastAsia="zh-CN" w:bidi="ar"/>
              </w:rPr>
              <w:t xml:space="preserve">报价文件组成齐全完整，内容均按规定填写。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）报价文件上法定代表人或其委托代理人的签字、供应商的单位章盖章齐全，符合询比文件规定。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）投标报价未超过询比文件设定的最高投标限价。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4</w:t>
            </w:r>
            <w:r>
              <w:rPr>
                <w:rFonts w:hint="eastAsia" w:ascii="宋体" w:hAnsi="宋体" w:eastAsia="宋体" w:cs="宋体"/>
                <w:color w:val="000000"/>
                <w:kern w:val="0"/>
                <w:sz w:val="22"/>
                <w:szCs w:val="22"/>
                <w:highlight w:val="none"/>
                <w:lang w:val="en-US" w:eastAsia="zh-CN" w:bidi="ar"/>
              </w:rPr>
              <w:t xml:space="preserve">）投标报价的大写金额能够确定具体数值。 </w:t>
            </w:r>
          </w:p>
          <w:p>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5</w:t>
            </w:r>
            <w:r>
              <w:rPr>
                <w:rFonts w:hint="eastAsia" w:ascii="宋体" w:hAnsi="宋体" w:eastAsia="宋体" w:cs="宋体"/>
                <w:color w:val="000000"/>
                <w:kern w:val="0"/>
                <w:sz w:val="22"/>
                <w:szCs w:val="22"/>
                <w:highlight w:val="none"/>
                <w:lang w:val="en-US" w:eastAsia="zh-CN" w:bidi="ar"/>
              </w:rPr>
              <w:t xml:space="preserve">）同一投标人未提交两个以上不同的投标报价。 </w:t>
            </w:r>
          </w:p>
          <w:p>
            <w:pPr>
              <w:keepNext w:val="0"/>
              <w:keepLines w:val="0"/>
              <w:widowControl/>
              <w:suppressLineNumbers w:val="0"/>
              <w:jc w:val="left"/>
              <w:rPr>
                <w:rFonts w:hint="eastAsia" w:ascii="宋体" w:hAnsi="宋体" w:eastAsia="宋体" w:cs="宋体"/>
                <w:color w:val="auto"/>
                <w:kern w:val="0"/>
                <w:sz w:val="21"/>
                <w:szCs w:val="21"/>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6</w:t>
            </w:r>
            <w:r>
              <w:rPr>
                <w:rFonts w:hint="eastAsia" w:ascii="宋体" w:hAnsi="宋体" w:eastAsia="宋体" w:cs="宋体"/>
                <w:color w:val="000000"/>
                <w:kern w:val="0"/>
                <w:sz w:val="22"/>
                <w:szCs w:val="22"/>
                <w:highlight w:val="none"/>
                <w:lang w:val="en-US" w:eastAsia="zh-CN" w:bidi="ar"/>
              </w:rPr>
              <w:t>）未附有招标人不能接受的条件。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Align w:val="center"/>
          </w:tcPr>
          <w:p>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w:t>
            </w:r>
          </w:p>
        </w:tc>
        <w:tc>
          <w:tcPr>
            <w:tcW w:w="1096" w:type="dxa"/>
            <w:vAlign w:val="center"/>
          </w:tcPr>
          <w:p>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资格评审</w:t>
            </w:r>
          </w:p>
          <w:p>
            <w:pPr>
              <w:keepNext w:val="0"/>
              <w:keepLines w:val="0"/>
              <w:widowControl/>
              <w:suppressLineNumbers w:val="0"/>
              <w:jc w:val="center"/>
              <w:rPr>
                <w:rFonts w:hint="eastAsia" w:ascii="宋体" w:hAnsi="宋体" w:eastAsia="宋体" w:cs="宋体"/>
                <w:color w:val="auto"/>
                <w:kern w:val="0"/>
                <w:sz w:val="21"/>
                <w:szCs w:val="21"/>
                <w:highlight w:val="none"/>
              </w:rPr>
            </w:pPr>
            <w:r>
              <w:rPr>
                <w:rFonts w:hint="eastAsia" w:ascii="宋体" w:hAnsi="宋体" w:eastAsia="宋体" w:cs="宋体"/>
                <w:color w:val="000000"/>
                <w:kern w:val="0"/>
                <w:sz w:val="22"/>
                <w:szCs w:val="22"/>
                <w:highlight w:val="none"/>
                <w:lang w:val="en-US" w:eastAsia="zh-CN" w:bidi="ar"/>
              </w:rPr>
              <w:t>标准</w:t>
            </w:r>
          </w:p>
        </w:tc>
        <w:tc>
          <w:tcPr>
            <w:tcW w:w="7418" w:type="dxa"/>
            <w:tcMar>
              <w:left w:w="75" w:type="dxa"/>
            </w:tcMar>
            <w:vAlign w:val="center"/>
          </w:tcPr>
          <w:p>
            <w:pPr>
              <w:keepNext w:val="0"/>
              <w:keepLines w:val="0"/>
              <w:widowControl/>
              <w:suppressLineNumbers w:val="0"/>
              <w:jc w:val="left"/>
              <w:rPr>
                <w:rFonts w:hint="eastAsia" w:ascii="宋体" w:hAnsi="宋体" w:eastAsia="宋体" w:cs="宋体"/>
                <w:color w:val="auto"/>
                <w:kern w:val="0"/>
                <w:sz w:val="21"/>
                <w:szCs w:val="21"/>
                <w:highlight w:val="none"/>
              </w:rPr>
            </w:pPr>
            <w:r>
              <w:rPr>
                <w:rFonts w:hint="eastAsia" w:ascii="宋体" w:hAnsi="宋体" w:eastAsia="宋体" w:cs="宋体"/>
                <w:color w:val="000000"/>
                <w:kern w:val="0"/>
                <w:sz w:val="22"/>
                <w:szCs w:val="22"/>
                <w:lang w:val="en-US" w:eastAsia="zh-CN" w:bidi="ar"/>
              </w:rPr>
              <w:t>符合采购公告3.供应商资格条件 及采购文件格式要求。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198" w:type="dxa"/>
            <w:gridSpan w:val="3"/>
            <w:vAlign w:val="center"/>
          </w:tcPr>
          <w:p>
            <w:pPr>
              <w:widowControl/>
              <w:adjustRightInd w:val="0"/>
              <w:snapToGrid w:val="0"/>
              <w:spacing w:line="360" w:lineRule="atLeast"/>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b/>
                <w:bCs/>
                <w:sz w:val="21"/>
                <w:szCs w:val="21"/>
                <w:highlight w:val="none"/>
              </w:rPr>
              <w:t>响应文件不符合以上条件之一的，对该响应文件作否决其</w:t>
            </w:r>
            <w:r>
              <w:rPr>
                <w:rFonts w:hint="eastAsia" w:ascii="宋体" w:hAnsi="宋体" w:eastAsia="宋体" w:cs="宋体"/>
                <w:b/>
                <w:bCs/>
                <w:sz w:val="21"/>
                <w:szCs w:val="21"/>
                <w:highlight w:val="none"/>
                <w:lang w:eastAsia="zh-CN"/>
              </w:rPr>
              <w:t>响应</w:t>
            </w:r>
            <w:r>
              <w:rPr>
                <w:rFonts w:hint="eastAsia" w:ascii="宋体" w:hAnsi="宋体" w:eastAsia="宋体" w:cs="宋体"/>
                <w:b/>
                <w:bCs/>
                <w:sz w:val="21"/>
                <w:szCs w:val="21"/>
                <w:highlight w:val="none"/>
              </w:rPr>
              <w:t>处理。</w:t>
            </w:r>
          </w:p>
        </w:tc>
      </w:tr>
    </w:tbl>
    <w:p>
      <w:pPr>
        <w:pStyle w:val="32"/>
        <w:numPr>
          <w:ilvl w:val="0"/>
          <w:numId w:val="0"/>
        </w:numPr>
        <w:spacing w:before="0"/>
        <w:outlineLvl w:val="9"/>
        <w:rPr>
          <w:rFonts w:hint="eastAsia" w:ascii="宋体" w:hAnsi="宋体" w:eastAsia="宋体"/>
          <w:b/>
          <w:bCs/>
          <w:szCs w:val="28"/>
          <w:highlight w:val="none"/>
        </w:rPr>
      </w:pPr>
    </w:p>
    <w:p>
      <w:pPr>
        <w:pStyle w:val="32"/>
        <w:numPr>
          <w:ilvl w:val="0"/>
          <w:numId w:val="0"/>
        </w:numPr>
        <w:spacing w:before="0"/>
        <w:outlineLvl w:val="9"/>
        <w:rPr>
          <w:rFonts w:hint="eastAsia" w:ascii="宋体" w:hAnsi="宋体" w:eastAsia="宋体"/>
          <w:b/>
          <w:bCs/>
          <w:szCs w:val="28"/>
          <w:highlight w:val="none"/>
        </w:rPr>
      </w:pPr>
      <w:r>
        <w:rPr>
          <w:rFonts w:hint="eastAsia" w:ascii="宋体" w:hAnsi="宋体" w:eastAsia="宋体"/>
          <w:b/>
          <w:bCs/>
          <w:szCs w:val="28"/>
          <w:highlight w:val="none"/>
        </w:rPr>
        <w:t>前附表B</w:t>
      </w:r>
    </w:p>
    <w:tbl>
      <w:tblPr>
        <w:tblStyle w:val="21"/>
        <w:tblpPr w:leftFromText="180" w:rightFromText="180" w:vertAnchor="text" w:horzAnchor="page" w:tblpX="1855" w:tblpY="576"/>
        <w:tblOverlap w:val="never"/>
        <w:tblW w:w="53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860"/>
        <w:gridCol w:w="6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25" w:type="dxa"/>
            <w:vAlign w:val="center"/>
          </w:tcPr>
          <w:p>
            <w:pPr>
              <w:pStyle w:val="7"/>
              <w:adjustRightInd w:val="0"/>
              <w:snapToGrid w:val="0"/>
              <w:spacing w:after="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条款号</w:t>
            </w:r>
          </w:p>
        </w:tc>
        <w:tc>
          <w:tcPr>
            <w:tcW w:w="186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条款内容</w:t>
            </w:r>
          </w:p>
        </w:tc>
        <w:tc>
          <w:tcPr>
            <w:tcW w:w="6385" w:type="dxa"/>
            <w:vAlign w:val="center"/>
          </w:tcPr>
          <w:p>
            <w:pPr>
              <w:adjustRightInd w:val="0"/>
              <w:spacing w:line="276"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trPr>
        <w:tc>
          <w:tcPr>
            <w:tcW w:w="925" w:type="dxa"/>
            <w:vAlign w:val="center"/>
          </w:tcPr>
          <w:p>
            <w:pPr>
              <w:pStyle w:val="7"/>
              <w:adjustRightInd w:val="0"/>
              <w:snapToGrid w:val="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2.2.1</w:t>
            </w:r>
          </w:p>
        </w:tc>
        <w:tc>
          <w:tcPr>
            <w:tcW w:w="1860" w:type="dxa"/>
            <w:vAlign w:val="center"/>
          </w:tcPr>
          <w:p>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第一个信封</w:t>
            </w:r>
          </w:p>
          <w:p>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评分分值构</w:t>
            </w:r>
          </w:p>
          <w:p>
            <w:pPr>
              <w:keepNext w:val="0"/>
              <w:keepLines w:val="0"/>
              <w:widowControl/>
              <w:suppressLineNumbers w:val="0"/>
              <w:jc w:val="center"/>
              <w:rPr>
                <w:rFonts w:hint="eastAsia" w:ascii="宋体" w:hAnsi="宋体" w:eastAsia="宋体" w:cs="宋体"/>
                <w:sz w:val="21"/>
                <w:szCs w:val="21"/>
                <w:highlight w:val="none"/>
                <w:lang w:val="en-US" w:eastAsia="zh-CN"/>
              </w:rPr>
            </w:pPr>
            <w:r>
              <w:rPr>
                <w:rFonts w:hint="eastAsia" w:ascii="宋体" w:hAnsi="宋体" w:eastAsia="宋体" w:cs="宋体"/>
                <w:color w:val="000000"/>
                <w:kern w:val="0"/>
                <w:sz w:val="22"/>
                <w:szCs w:val="22"/>
                <w:highlight w:val="none"/>
                <w:lang w:val="en-US" w:eastAsia="zh-CN" w:bidi="ar"/>
              </w:rPr>
              <w:t>成</w:t>
            </w:r>
            <w:r>
              <w:rPr>
                <w:rFonts w:hint="eastAsia" w:ascii="宋体" w:hAnsi="宋体" w:eastAsia="宋体" w:cs="宋体"/>
                <w:sz w:val="21"/>
                <w:szCs w:val="21"/>
                <w:highlight w:val="none"/>
              </w:rPr>
              <w:t>（总分100分）</w:t>
            </w:r>
          </w:p>
        </w:tc>
        <w:tc>
          <w:tcPr>
            <w:tcW w:w="6385" w:type="dxa"/>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商务及技术</w:t>
            </w:r>
            <w:r>
              <w:rPr>
                <w:rFonts w:hint="eastAsia" w:ascii="宋体" w:hAnsi="宋体" w:eastAsia="宋体" w:cs="宋体"/>
                <w:b/>
                <w:bCs/>
                <w:sz w:val="21"/>
                <w:szCs w:val="21"/>
                <w:highlight w:val="none"/>
              </w:rPr>
              <w:t>文件评分分值构成</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u w:val="single"/>
                <w:lang w:val="en-US" w:eastAsia="zh-CN"/>
              </w:rPr>
              <w:t xml:space="preserve"> 100 </w:t>
            </w:r>
            <w:r>
              <w:rPr>
                <w:rFonts w:hint="eastAsia" w:ascii="宋体" w:hAnsi="宋体" w:eastAsia="宋体" w:cs="宋体"/>
                <w:b/>
                <w:bCs/>
                <w:sz w:val="21"/>
                <w:szCs w:val="21"/>
                <w:highlight w:val="none"/>
              </w:rPr>
              <w:t>分</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业    绩：</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40</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分</w:t>
            </w:r>
          </w:p>
          <w:p>
            <w:pPr>
              <w:spacing w:line="240" w:lineRule="auto"/>
              <w:ind w:left="618" w:hanging="630" w:hangingChars="300"/>
              <w:jc w:val="both"/>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售后服务：</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5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分</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体系认证</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9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分</w:t>
            </w:r>
          </w:p>
          <w:p>
            <w:pPr>
              <w:pStyle w:val="2"/>
              <w:spacing w:line="240" w:lineRule="auto"/>
              <w:rPr>
                <w:rFonts w:hint="eastAsia" w:eastAsia="宋体"/>
                <w:highlight w:val="none"/>
                <w:lang w:val="en-US" w:eastAsia="zh-CN"/>
              </w:rPr>
            </w:pPr>
            <w:r>
              <w:rPr>
                <w:rFonts w:hint="eastAsia" w:ascii="宋体" w:hAnsi="宋体" w:eastAsia="宋体" w:cs="宋体"/>
                <w:sz w:val="21"/>
                <w:szCs w:val="21"/>
                <w:highlight w:val="none"/>
                <w:lang w:val="en-US" w:eastAsia="zh-CN"/>
              </w:rPr>
              <w:t>质保期</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6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分</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综合实力：</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15</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分</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维保及供货方案：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25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925" w:type="dxa"/>
            <w:vAlign w:val="center"/>
          </w:tcPr>
          <w:p>
            <w:pPr>
              <w:keepNext w:val="0"/>
              <w:keepLines w:val="0"/>
              <w:widowControl/>
              <w:suppressLineNumbers w:val="0"/>
              <w:jc w:val="both"/>
              <w:rPr>
                <w:rFonts w:hint="eastAsia" w:ascii="宋体" w:hAnsi="宋体" w:eastAsia="宋体" w:cs="宋体"/>
                <w:sz w:val="21"/>
                <w:szCs w:val="21"/>
                <w:highlight w:val="none"/>
                <w:lang w:val="en-US" w:eastAsia="zh-CN"/>
              </w:rPr>
            </w:pPr>
            <w:r>
              <w:rPr>
                <w:rFonts w:hint="default" w:ascii="Times New Roman" w:hAnsi="Times New Roman" w:eastAsia="宋体" w:cs="Times New Roman"/>
                <w:color w:val="000000"/>
                <w:kern w:val="0"/>
                <w:sz w:val="22"/>
                <w:szCs w:val="22"/>
                <w:highlight w:val="none"/>
                <w:lang w:val="en-US" w:eastAsia="zh-CN" w:bidi="ar"/>
              </w:rPr>
              <w:t>2.2.3</w:t>
            </w:r>
          </w:p>
        </w:tc>
        <w:tc>
          <w:tcPr>
            <w:tcW w:w="1860" w:type="dxa"/>
            <w:vAlign w:val="center"/>
          </w:tcPr>
          <w:p>
            <w:pPr>
              <w:keepNext w:val="0"/>
              <w:keepLines w:val="0"/>
              <w:widowControl/>
              <w:suppressLineNumbers w:val="0"/>
              <w:jc w:val="center"/>
              <w:rPr>
                <w:rFonts w:hint="eastAsia" w:asciiTheme="minorEastAsia" w:hAnsiTheme="minorEastAsia" w:eastAsiaTheme="minorEastAsia" w:cstheme="minorEastAsia"/>
                <w:color w:val="000000"/>
                <w:kern w:val="0"/>
                <w:sz w:val="21"/>
                <w:szCs w:val="21"/>
                <w:highlight w:val="none"/>
                <w:lang w:val="en-US" w:eastAsia="zh-CN" w:bidi="ar"/>
              </w:rPr>
            </w:pPr>
            <w:r>
              <w:rPr>
                <w:rFonts w:hint="eastAsia" w:asciiTheme="minorEastAsia" w:hAnsiTheme="minorEastAsia" w:eastAsiaTheme="minorEastAsia" w:cstheme="minorEastAsia"/>
                <w:color w:val="000000"/>
                <w:kern w:val="0"/>
                <w:sz w:val="21"/>
                <w:szCs w:val="21"/>
                <w:highlight w:val="none"/>
                <w:lang w:val="en-US" w:eastAsia="zh-CN" w:bidi="ar"/>
              </w:rPr>
              <w:t>第二个信封详细评审标准</w:t>
            </w:r>
          </w:p>
        </w:tc>
        <w:tc>
          <w:tcPr>
            <w:tcW w:w="6385" w:type="dxa"/>
            <w:vAlign w:val="center"/>
          </w:tcPr>
          <w:p>
            <w:pPr>
              <w:keepNext w:val="0"/>
              <w:keepLines w:val="0"/>
              <w:widowControl/>
              <w:suppressLineNumbers w:val="0"/>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kern w:val="0"/>
                <w:sz w:val="21"/>
                <w:szCs w:val="21"/>
                <w:highlight w:val="none"/>
                <w:lang w:val="en-US" w:eastAsia="zh-CN" w:bidi="ar"/>
              </w:rPr>
              <w:t>（1）评标价计算公式：</w:t>
            </w:r>
          </w:p>
          <w:p>
            <w:pPr>
              <w:keepNext w:val="0"/>
              <w:keepLines w:val="0"/>
              <w:widowControl/>
              <w:suppressLineNumbers w:val="0"/>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kern w:val="0"/>
                <w:sz w:val="21"/>
                <w:szCs w:val="21"/>
                <w:highlight w:val="none"/>
                <w:lang w:val="en-US" w:eastAsia="zh-CN" w:bidi="ar"/>
              </w:rPr>
              <w:t>评标价＝修正后的投标报价</w:t>
            </w:r>
          </w:p>
        </w:tc>
      </w:tr>
    </w:tbl>
    <w:tbl>
      <w:tblPr>
        <w:tblStyle w:val="21"/>
        <w:tblW w:w="54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99"/>
        <w:gridCol w:w="938"/>
        <w:gridCol w:w="1777"/>
        <w:gridCol w:w="5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trPr>
        <w:tc>
          <w:tcPr>
            <w:tcW w:w="492" w:type="pct"/>
            <w:vAlign w:val="center"/>
          </w:tcPr>
          <w:p>
            <w:pPr>
              <w:pStyle w:val="7"/>
              <w:adjustRightInd w:val="0"/>
              <w:snapToGrid w:val="0"/>
              <w:spacing w:after="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条款号</w:t>
            </w:r>
          </w:p>
        </w:tc>
        <w:tc>
          <w:tcPr>
            <w:tcW w:w="513" w:type="pct"/>
            <w:vAlign w:val="center"/>
          </w:tcPr>
          <w:p>
            <w:pPr>
              <w:pStyle w:val="7"/>
              <w:adjustRightInd w:val="0"/>
              <w:snapToGrid w:val="0"/>
              <w:ind w:left="210" w:hanging="210" w:hangingChars="100"/>
              <w:jc w:val="center"/>
              <w:rPr>
                <w:rFonts w:hint="eastAsia" w:ascii="宋体" w:hAnsi="宋体" w:eastAsia="宋体" w:cs="宋体"/>
                <w:sz w:val="21"/>
                <w:szCs w:val="21"/>
                <w:highlight w:val="none"/>
                <w:lang w:val="en-US" w:eastAsia="zh-CN"/>
              </w:rPr>
            </w:pPr>
          </w:p>
        </w:tc>
        <w:tc>
          <w:tcPr>
            <w:tcW w:w="972" w:type="pct"/>
            <w:vAlign w:val="center"/>
          </w:tcPr>
          <w:p>
            <w:pPr>
              <w:pStyle w:val="7"/>
              <w:adjustRightInd w:val="0"/>
              <w:snapToGrid w:val="0"/>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分值构成</w:t>
            </w:r>
          </w:p>
        </w:tc>
        <w:tc>
          <w:tcPr>
            <w:tcW w:w="3021" w:type="pct"/>
            <w:vAlign w:val="center"/>
          </w:tcPr>
          <w:p>
            <w:pPr>
              <w:pStyle w:val="7"/>
              <w:adjustRightInd w:val="0"/>
              <w:snapToGrid w:val="0"/>
              <w:ind w:firstLine="420" w:firstLineChars="200"/>
              <w:jc w:val="center"/>
              <w:rPr>
                <w:rFonts w:hint="eastAsia" w:ascii="宋体" w:hAnsi="宋体" w:eastAsia="宋体" w:cs="宋体"/>
                <w:b/>
                <w:bCs/>
                <w:sz w:val="21"/>
                <w:szCs w:val="21"/>
                <w:highlight w:val="none"/>
                <w:lang w:val="en-US" w:eastAsia="zh-CN"/>
              </w:rPr>
            </w:pPr>
            <w:r>
              <w:rPr>
                <w:rFonts w:hint="eastAsia" w:ascii="宋体" w:hAnsi="宋体" w:eastAsia="宋体" w:cs="宋体"/>
                <w:sz w:val="21"/>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44" w:hRule="atLeast"/>
        </w:trPr>
        <w:tc>
          <w:tcPr>
            <w:tcW w:w="492" w:type="pct"/>
            <w:vMerge w:val="restart"/>
            <w:vAlign w:val="center"/>
          </w:tcPr>
          <w:p>
            <w:pPr>
              <w:pStyle w:val="7"/>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2.2.4</w:t>
            </w:r>
          </w:p>
          <w:p>
            <w:pPr>
              <w:pStyle w:val="7"/>
              <w:adjustRightInd w:val="0"/>
              <w:snapToGrid w:val="0"/>
              <w:rPr>
                <w:rFonts w:hint="eastAsia" w:ascii="宋体" w:hAnsi="宋体" w:eastAsia="宋体" w:cs="宋体"/>
                <w:sz w:val="21"/>
                <w:szCs w:val="21"/>
                <w:highlight w:val="none"/>
              </w:rPr>
            </w:pPr>
          </w:p>
        </w:tc>
        <w:tc>
          <w:tcPr>
            <w:tcW w:w="513" w:type="pct"/>
            <w:vMerge w:val="restart"/>
            <w:vAlign w:val="center"/>
          </w:tcPr>
          <w:p>
            <w:pPr>
              <w:pStyle w:val="7"/>
              <w:adjustRightInd w:val="0"/>
              <w:snapToGrid w:val="0"/>
              <w:ind w:left="210" w:hanging="210" w:hangingChars="100"/>
              <w:jc w:val="both"/>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商务及技术文件</w:t>
            </w:r>
          </w:p>
        </w:tc>
        <w:tc>
          <w:tcPr>
            <w:tcW w:w="972" w:type="pct"/>
            <w:vAlign w:val="center"/>
          </w:tcPr>
          <w:p>
            <w:pPr>
              <w:pStyle w:val="7"/>
              <w:adjustRightInd w:val="0"/>
              <w:snapToGrid w:val="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企业业绩</w:t>
            </w:r>
          </w:p>
          <w:p>
            <w:pPr>
              <w:pStyle w:val="7"/>
              <w:adjustRightInd w:val="0"/>
              <w:snapToGrid w:val="0"/>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40  </w:t>
            </w:r>
            <w:r>
              <w:rPr>
                <w:rFonts w:hint="eastAsia" w:ascii="宋体" w:hAnsi="宋体" w:eastAsia="宋体" w:cs="宋体"/>
                <w:sz w:val="21"/>
                <w:szCs w:val="21"/>
                <w:highlight w:val="none"/>
                <w:u w:val="none"/>
                <w:lang w:val="en-US" w:eastAsia="zh-CN"/>
              </w:rPr>
              <w:t>分</w:t>
            </w:r>
            <w:r>
              <w:rPr>
                <w:rFonts w:hint="eastAsia" w:ascii="宋体" w:hAnsi="宋体" w:eastAsia="宋体" w:cs="宋体"/>
                <w:sz w:val="21"/>
                <w:szCs w:val="21"/>
                <w:highlight w:val="none"/>
                <w:lang w:eastAsia="zh-CN"/>
              </w:rPr>
              <w:t>）</w:t>
            </w:r>
          </w:p>
        </w:tc>
        <w:tc>
          <w:tcPr>
            <w:tcW w:w="3021" w:type="pct"/>
            <w:vAlign w:val="center"/>
          </w:tcPr>
          <w:p>
            <w:pPr>
              <w:pStyle w:val="7"/>
              <w:adjustRightInd w:val="0"/>
              <w:snapToGrid w:val="0"/>
              <w:ind w:firstLine="440" w:firstLineChars="200"/>
              <w:jc w:val="left"/>
              <w:rPr>
                <w:rFonts w:hint="eastAsia" w:ascii="宋体" w:hAnsi="宋体" w:eastAsia="宋体" w:cs="宋体"/>
                <w:color w:val="auto"/>
                <w:sz w:val="21"/>
                <w:szCs w:val="21"/>
                <w:highlight w:val="none"/>
              </w:rPr>
            </w:pPr>
            <w:r>
              <w:rPr>
                <w:rFonts w:hint="eastAsia" w:hAnsi="宋体"/>
                <w:sz w:val="22"/>
                <w:szCs w:val="22"/>
                <w:highlight w:val="none"/>
              </w:rPr>
              <w:t xml:space="preserve"> </w:t>
            </w:r>
            <w:r>
              <w:rPr>
                <w:rFonts w:hint="eastAsia" w:ascii="宋体" w:hAnsi="宋体" w:eastAsia="宋体" w:cs="宋体"/>
                <w:sz w:val="21"/>
                <w:szCs w:val="21"/>
                <w:highlight w:val="none"/>
                <w:lang w:val="en-US" w:eastAsia="zh-CN"/>
              </w:rPr>
              <w:t>满足资格审查条件业绩最低要求得</w:t>
            </w:r>
            <w:r>
              <w:rPr>
                <w:rFonts w:hint="eastAsia" w:ascii="宋体" w:hAnsi="宋体" w:eastAsia="宋体" w:cs="宋体"/>
                <w:sz w:val="21"/>
                <w:szCs w:val="21"/>
                <w:highlight w:val="none"/>
                <w:u w:val="single"/>
                <w:lang w:val="en-US" w:eastAsia="zh-CN"/>
              </w:rPr>
              <w:t xml:space="preserve">  24 </w:t>
            </w:r>
            <w:r>
              <w:rPr>
                <w:rFonts w:hint="eastAsia" w:ascii="宋体" w:hAnsi="宋体" w:eastAsia="宋体" w:cs="宋体"/>
                <w:sz w:val="21"/>
                <w:szCs w:val="21"/>
                <w:highlight w:val="none"/>
                <w:lang w:val="en-US" w:eastAsia="zh-CN"/>
              </w:rPr>
              <w:t>分</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在此基础上，</w:t>
            </w:r>
            <w:r>
              <w:rPr>
                <w:rFonts w:hint="eastAsia" w:ascii="宋体" w:hAnsi="宋体" w:eastAsia="宋体" w:cs="宋体"/>
                <w:color w:val="auto"/>
                <w:sz w:val="21"/>
                <w:szCs w:val="21"/>
                <w:highlight w:val="none"/>
                <w:lang w:val="en-US" w:eastAsia="zh-CN"/>
              </w:rPr>
              <w:t>每多提供一个类似业绩加</w:t>
            </w:r>
            <w:r>
              <w:rPr>
                <w:rFonts w:hint="eastAsia" w:ascii="宋体" w:hAnsi="宋体" w:eastAsia="宋体" w:cs="宋体"/>
                <w:color w:val="auto"/>
                <w:sz w:val="21"/>
                <w:szCs w:val="21"/>
                <w:highlight w:val="none"/>
                <w:u w:val="single"/>
                <w:lang w:val="en-US" w:eastAsia="zh-CN"/>
              </w:rPr>
              <w:t xml:space="preserve">  4 </w:t>
            </w:r>
            <w:r>
              <w:rPr>
                <w:rFonts w:hint="eastAsia" w:ascii="宋体" w:hAnsi="宋体" w:eastAsia="宋体" w:cs="宋体"/>
                <w:color w:val="auto"/>
                <w:sz w:val="21"/>
                <w:szCs w:val="21"/>
                <w:highlight w:val="none"/>
                <w:lang w:val="en-US" w:eastAsia="zh-CN"/>
              </w:rPr>
              <w:t>分，累计最多加</w:t>
            </w:r>
            <w:r>
              <w:rPr>
                <w:rFonts w:hint="eastAsia" w:ascii="宋体" w:hAnsi="宋体" w:eastAsia="宋体" w:cs="宋体"/>
                <w:color w:val="auto"/>
                <w:sz w:val="21"/>
                <w:szCs w:val="21"/>
                <w:highlight w:val="none"/>
                <w:u w:val="single"/>
                <w:lang w:val="en-US" w:eastAsia="zh-CN"/>
              </w:rPr>
              <w:t xml:space="preserve"> 16 </w:t>
            </w:r>
            <w:r>
              <w:rPr>
                <w:rFonts w:hint="eastAsia" w:ascii="宋体" w:hAnsi="宋体" w:eastAsia="宋体" w:cs="宋体"/>
                <w:color w:val="auto"/>
                <w:sz w:val="21"/>
                <w:szCs w:val="21"/>
                <w:highlight w:val="none"/>
              </w:rPr>
              <w:t>分。</w:t>
            </w:r>
          </w:p>
          <w:p>
            <w:pPr>
              <w:pStyle w:val="7"/>
              <w:adjustRightInd w:val="0"/>
              <w:snapToGrid w:val="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备注：类似业绩指自2021年1月1日以来，单项合同额不低于50万元的空气源热水供应合同业绩。</w:t>
            </w:r>
          </w:p>
          <w:p>
            <w:pPr>
              <w:pStyle w:val="7"/>
              <w:numPr>
                <w:ilvl w:val="0"/>
                <w:numId w:val="0"/>
              </w:numPr>
              <w:adjustRightInd w:val="0"/>
              <w:snapToGrid w:val="0"/>
              <w:jc w:val="both"/>
              <w:rPr>
                <w:rFonts w:hint="eastAsia"/>
                <w:highlight w:val="none"/>
                <w:lang w:val="en-US" w:eastAsia="zh-CN"/>
              </w:rPr>
            </w:pPr>
            <w:r>
              <w:rPr>
                <w:rFonts w:hint="eastAsia"/>
                <w:highlight w:val="none"/>
                <w:lang w:val="en-US" w:eastAsia="zh-CN"/>
              </w:rPr>
              <w:t>1.响应</w:t>
            </w:r>
            <w:r>
              <w:rPr>
                <w:rFonts w:hint="eastAsia"/>
                <w:highlight w:val="none"/>
              </w:rPr>
              <w:t>文件中提供业绩合同扫描件，如业绩合同中无法体现合同签订时间、供货内容</w:t>
            </w:r>
            <w:r>
              <w:rPr>
                <w:rFonts w:hint="eastAsia"/>
                <w:highlight w:val="none"/>
                <w:lang w:eastAsia="zh-CN"/>
              </w:rPr>
              <w:t>、</w:t>
            </w:r>
            <w:r>
              <w:rPr>
                <w:rFonts w:hint="eastAsia"/>
                <w:highlight w:val="none"/>
                <w:lang w:val="en-US" w:eastAsia="zh-CN"/>
              </w:rPr>
              <w:t>金额</w:t>
            </w:r>
            <w:r>
              <w:rPr>
                <w:rFonts w:hint="eastAsia"/>
                <w:highlight w:val="none"/>
              </w:rPr>
              <w:t>等信息，</w:t>
            </w:r>
            <w:r>
              <w:rPr>
                <w:rFonts w:hint="eastAsia"/>
                <w:highlight w:val="none"/>
                <w:lang w:val="en-US" w:eastAsia="zh-CN"/>
              </w:rPr>
              <w:t>应另附合同甲方证明材料（须加盖合同甲方单位章）予以明确说明，否则评审委员会不予认可。</w:t>
            </w:r>
          </w:p>
          <w:p>
            <w:pPr>
              <w:pStyle w:val="7"/>
              <w:numPr>
                <w:ilvl w:val="0"/>
                <w:numId w:val="0"/>
              </w:numPr>
              <w:adjustRightInd w:val="0"/>
              <w:snapToGrid w:val="0"/>
              <w:jc w:val="both"/>
              <w:rPr>
                <w:rFonts w:hint="default"/>
                <w:highlight w:val="none"/>
                <w:lang w:val="en-US" w:eastAsia="zh-CN"/>
              </w:rPr>
            </w:pPr>
            <w:r>
              <w:rPr>
                <w:rFonts w:hint="eastAsia"/>
                <w:highlight w:val="none"/>
                <w:lang w:val="en-US" w:eastAsia="zh-CN"/>
              </w:rPr>
              <w:t>2.资格审查业绩可作为商务及技术文件评审业绩。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1" w:hRule="atLeast"/>
        </w:trPr>
        <w:tc>
          <w:tcPr>
            <w:tcW w:w="492" w:type="pct"/>
            <w:vMerge w:val="continue"/>
            <w:vAlign w:val="center"/>
          </w:tcPr>
          <w:p>
            <w:pPr>
              <w:pStyle w:val="7"/>
              <w:adjustRightInd w:val="0"/>
              <w:snapToGrid w:val="0"/>
              <w:rPr>
                <w:rFonts w:hint="eastAsia" w:ascii="宋体" w:hAnsi="宋体" w:eastAsia="宋体" w:cs="宋体"/>
                <w:sz w:val="21"/>
                <w:szCs w:val="21"/>
                <w:highlight w:val="none"/>
              </w:rPr>
            </w:pPr>
          </w:p>
        </w:tc>
        <w:tc>
          <w:tcPr>
            <w:tcW w:w="513" w:type="pct"/>
            <w:vMerge w:val="continue"/>
            <w:vAlign w:val="center"/>
          </w:tcPr>
          <w:p>
            <w:pPr>
              <w:pStyle w:val="7"/>
              <w:adjustRightInd w:val="0"/>
              <w:snapToGrid w:val="0"/>
              <w:ind w:left="210" w:hanging="210" w:hangingChars="100"/>
              <w:rPr>
                <w:rFonts w:hint="eastAsia" w:ascii="宋体" w:hAnsi="宋体" w:eastAsia="宋体" w:cs="宋体"/>
                <w:sz w:val="21"/>
                <w:szCs w:val="21"/>
                <w:highlight w:val="none"/>
                <w:lang w:val="en-US" w:eastAsia="zh-CN"/>
              </w:rPr>
            </w:pPr>
          </w:p>
        </w:tc>
        <w:tc>
          <w:tcPr>
            <w:tcW w:w="972" w:type="pct"/>
            <w:vAlign w:val="center"/>
          </w:tcPr>
          <w:p>
            <w:pPr>
              <w:ind w:left="618" w:hanging="630" w:hangingChars="30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售后服务</w:t>
            </w:r>
          </w:p>
          <w:p>
            <w:pPr>
              <w:ind w:left="618" w:hanging="630" w:hangingChars="300"/>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5  </w:t>
            </w:r>
            <w:r>
              <w:rPr>
                <w:rFonts w:hint="eastAsia" w:ascii="宋体" w:hAnsi="宋体" w:eastAsia="宋体" w:cs="宋体"/>
                <w:sz w:val="21"/>
                <w:szCs w:val="21"/>
                <w:highlight w:val="none"/>
                <w:u w:val="none"/>
                <w:lang w:val="en-US" w:eastAsia="zh-CN"/>
              </w:rPr>
              <w:t>分</w:t>
            </w:r>
            <w:r>
              <w:rPr>
                <w:rFonts w:hint="eastAsia" w:ascii="宋体" w:hAnsi="宋体" w:eastAsia="宋体" w:cs="宋体"/>
                <w:sz w:val="21"/>
                <w:szCs w:val="21"/>
                <w:highlight w:val="none"/>
                <w:lang w:eastAsia="zh-CN"/>
              </w:rPr>
              <w:t>）</w:t>
            </w:r>
          </w:p>
        </w:tc>
        <w:tc>
          <w:tcPr>
            <w:tcW w:w="3021" w:type="pct"/>
            <w:vAlign w:val="center"/>
          </w:tcPr>
          <w:p>
            <w:pPr>
              <w:pStyle w:val="7"/>
              <w:ind w:firstLine="210" w:firstLineChars="100"/>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u w:val="none"/>
                <w:lang w:val="en-US" w:eastAsia="zh-CN" w:bidi="ar"/>
              </w:rPr>
              <w:t>投标人提供售后服务保障措施，并承诺：在免费质保期时间内提供免费上门服务，响应时间在24小时内（含）的得5分，响应时间在48小时内（含）的得3分，未承诺的不得分。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1" w:hRule="atLeast"/>
        </w:trPr>
        <w:tc>
          <w:tcPr>
            <w:tcW w:w="492" w:type="pct"/>
            <w:vMerge w:val="continue"/>
            <w:vAlign w:val="center"/>
          </w:tcPr>
          <w:p>
            <w:pPr>
              <w:pStyle w:val="7"/>
              <w:adjustRightInd w:val="0"/>
              <w:snapToGrid w:val="0"/>
              <w:rPr>
                <w:rFonts w:hint="eastAsia" w:ascii="宋体" w:hAnsi="宋体" w:eastAsia="宋体" w:cs="宋体"/>
                <w:sz w:val="21"/>
                <w:szCs w:val="21"/>
                <w:highlight w:val="none"/>
              </w:rPr>
            </w:pPr>
          </w:p>
        </w:tc>
        <w:tc>
          <w:tcPr>
            <w:tcW w:w="513" w:type="pct"/>
            <w:vMerge w:val="continue"/>
            <w:vAlign w:val="center"/>
          </w:tcPr>
          <w:p>
            <w:pPr>
              <w:pStyle w:val="7"/>
              <w:adjustRightInd w:val="0"/>
              <w:snapToGrid w:val="0"/>
              <w:ind w:left="210" w:hanging="210" w:hangingChars="100"/>
              <w:rPr>
                <w:rFonts w:hint="eastAsia" w:ascii="宋体" w:hAnsi="宋体" w:eastAsia="宋体" w:cs="宋体"/>
                <w:sz w:val="21"/>
                <w:szCs w:val="21"/>
                <w:highlight w:val="none"/>
                <w:lang w:val="en-US" w:eastAsia="zh-CN"/>
              </w:rPr>
            </w:pPr>
          </w:p>
        </w:tc>
        <w:tc>
          <w:tcPr>
            <w:tcW w:w="972" w:type="pct"/>
            <w:vAlign w:val="center"/>
          </w:tcPr>
          <w:p>
            <w:pPr>
              <w:ind w:left="618" w:hanging="624" w:hangingChars="300"/>
              <w:jc w:val="center"/>
              <w:rPr>
                <w:rFonts w:hint="eastAsia" w:ascii="宋体" w:hAnsi="宋体" w:eastAsia="宋体" w:cs="宋体"/>
                <w:spacing w:val="-1"/>
                <w:sz w:val="21"/>
                <w:szCs w:val="21"/>
                <w:highlight w:val="none"/>
                <w:lang w:val="en-US" w:eastAsia="zh-CN"/>
              </w:rPr>
            </w:pPr>
            <w:r>
              <w:rPr>
                <w:rFonts w:ascii="宋体" w:hAnsi="宋体" w:eastAsia="宋体" w:cs="宋体"/>
                <w:spacing w:val="-1"/>
                <w:sz w:val="21"/>
                <w:szCs w:val="21"/>
                <w:highlight w:val="none"/>
              </w:rPr>
              <w:t>体系认证</w:t>
            </w:r>
          </w:p>
          <w:p>
            <w:pPr>
              <w:ind w:left="618" w:hanging="624" w:hangingChars="300"/>
              <w:jc w:val="center"/>
              <w:rPr>
                <w:rFonts w:hint="eastAsia" w:ascii="宋体" w:hAnsi="宋体" w:eastAsia="宋体" w:cs="宋体"/>
                <w:spacing w:val="-1"/>
                <w:sz w:val="21"/>
                <w:szCs w:val="21"/>
                <w:highlight w:val="none"/>
                <w:lang w:eastAsia="zh-CN"/>
              </w:rPr>
            </w:pPr>
            <w:r>
              <w:rPr>
                <w:rFonts w:hint="eastAsia" w:ascii="宋体" w:hAnsi="宋体" w:eastAsia="宋体" w:cs="宋体"/>
                <w:spacing w:val="-1"/>
                <w:sz w:val="21"/>
                <w:szCs w:val="21"/>
                <w:highlight w:val="none"/>
                <w:lang w:eastAsia="zh-CN"/>
              </w:rPr>
              <w:t>（</w:t>
            </w:r>
            <w:r>
              <w:rPr>
                <w:rFonts w:hint="eastAsia" w:ascii="宋体" w:hAnsi="宋体" w:eastAsia="宋体" w:cs="宋体"/>
                <w:spacing w:val="-1"/>
                <w:sz w:val="21"/>
                <w:szCs w:val="21"/>
                <w:highlight w:val="none"/>
                <w:lang w:val="en-US" w:eastAsia="zh-CN"/>
              </w:rPr>
              <w:t>满分</w:t>
            </w:r>
            <w:r>
              <w:rPr>
                <w:rFonts w:hint="eastAsia" w:ascii="宋体" w:hAnsi="宋体" w:eastAsia="宋体" w:cs="宋体"/>
                <w:spacing w:val="-1"/>
                <w:sz w:val="21"/>
                <w:szCs w:val="21"/>
                <w:highlight w:val="none"/>
                <w:u w:val="single"/>
                <w:lang w:val="en-US" w:eastAsia="zh-CN"/>
              </w:rPr>
              <w:t xml:space="preserve">  9  </w:t>
            </w:r>
            <w:r>
              <w:rPr>
                <w:rFonts w:hint="eastAsia" w:ascii="宋体" w:hAnsi="宋体" w:eastAsia="宋体" w:cs="宋体"/>
                <w:spacing w:val="-1"/>
                <w:sz w:val="21"/>
                <w:szCs w:val="21"/>
                <w:highlight w:val="none"/>
                <w:lang w:val="en-US" w:eastAsia="zh-CN"/>
              </w:rPr>
              <w:t>分</w:t>
            </w:r>
            <w:r>
              <w:rPr>
                <w:rFonts w:hint="eastAsia" w:ascii="宋体" w:hAnsi="宋体" w:eastAsia="宋体" w:cs="宋体"/>
                <w:spacing w:val="-1"/>
                <w:sz w:val="21"/>
                <w:szCs w:val="21"/>
                <w:highlight w:val="none"/>
                <w:lang w:eastAsia="zh-CN"/>
              </w:rPr>
              <w:t>）</w:t>
            </w:r>
          </w:p>
        </w:tc>
        <w:tc>
          <w:tcPr>
            <w:tcW w:w="3021" w:type="pct"/>
            <w:vAlign w:val="center"/>
          </w:tcPr>
          <w:p>
            <w:pPr>
              <w:pStyle w:val="8"/>
              <w:rPr>
                <w:rFonts w:hint="eastAsia"/>
                <w:highlight w:val="none"/>
                <w:lang w:val="en-US" w:eastAsia="zh-CN"/>
              </w:rPr>
            </w:pPr>
            <w:r>
              <w:rPr>
                <w:rFonts w:hint="eastAsia" w:ascii="宋体" w:hAnsi="宋体" w:eastAsia="宋体" w:cs="宋体"/>
                <w:color w:val="auto"/>
                <w:kern w:val="0"/>
                <w:sz w:val="21"/>
                <w:szCs w:val="21"/>
                <w:highlight w:val="none"/>
                <w:u w:val="none"/>
                <w:lang w:val="en-US" w:eastAsia="zh-CN" w:bidi="ar"/>
              </w:rPr>
              <w:t>供应商具有有效期内的质量管理体系认证证书、环境管理体系认证证书、职业健康安全管理体系认证证书的，每提供1个得3分，总分9分。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1" w:hRule="atLeast"/>
        </w:trPr>
        <w:tc>
          <w:tcPr>
            <w:tcW w:w="492" w:type="pct"/>
            <w:vMerge w:val="continue"/>
            <w:vAlign w:val="center"/>
          </w:tcPr>
          <w:p>
            <w:pPr>
              <w:pStyle w:val="7"/>
              <w:adjustRightInd w:val="0"/>
              <w:snapToGrid w:val="0"/>
              <w:rPr>
                <w:rFonts w:hint="eastAsia" w:ascii="宋体" w:hAnsi="宋体" w:eastAsia="宋体" w:cs="宋体"/>
                <w:sz w:val="21"/>
                <w:szCs w:val="21"/>
                <w:highlight w:val="none"/>
              </w:rPr>
            </w:pPr>
          </w:p>
        </w:tc>
        <w:tc>
          <w:tcPr>
            <w:tcW w:w="513" w:type="pct"/>
            <w:vMerge w:val="continue"/>
            <w:vAlign w:val="center"/>
          </w:tcPr>
          <w:p>
            <w:pPr>
              <w:pStyle w:val="7"/>
              <w:adjustRightInd w:val="0"/>
              <w:snapToGrid w:val="0"/>
              <w:ind w:left="210" w:hanging="210" w:hangingChars="100"/>
              <w:rPr>
                <w:rFonts w:hint="eastAsia" w:ascii="宋体" w:hAnsi="宋体" w:eastAsia="宋体" w:cs="宋体"/>
                <w:sz w:val="21"/>
                <w:szCs w:val="21"/>
                <w:highlight w:val="none"/>
                <w:lang w:val="en-US" w:eastAsia="zh-CN"/>
              </w:rPr>
            </w:pPr>
          </w:p>
        </w:tc>
        <w:tc>
          <w:tcPr>
            <w:tcW w:w="972" w:type="pct"/>
            <w:vAlign w:val="center"/>
          </w:tcPr>
          <w:p>
            <w:pPr>
              <w:ind w:left="618" w:hanging="624" w:hangingChars="300"/>
              <w:jc w:val="center"/>
              <w:rPr>
                <w:rFonts w:hint="eastAsia" w:ascii="宋体" w:hAnsi="宋体" w:eastAsia="宋体" w:cs="宋体"/>
                <w:spacing w:val="-1"/>
                <w:sz w:val="21"/>
                <w:szCs w:val="21"/>
                <w:highlight w:val="none"/>
                <w:lang w:val="en-US" w:eastAsia="zh-CN"/>
              </w:rPr>
            </w:pPr>
            <w:r>
              <w:rPr>
                <w:rFonts w:hint="eastAsia" w:ascii="宋体" w:hAnsi="宋体" w:eastAsia="宋体" w:cs="宋体"/>
                <w:spacing w:val="-1"/>
                <w:sz w:val="21"/>
                <w:szCs w:val="21"/>
                <w:highlight w:val="none"/>
                <w:lang w:val="en-US" w:eastAsia="zh-CN"/>
              </w:rPr>
              <w:t>质保期</w:t>
            </w:r>
          </w:p>
          <w:p>
            <w:pPr>
              <w:ind w:left="618" w:hanging="624" w:hangingChars="300"/>
              <w:jc w:val="center"/>
              <w:rPr>
                <w:rFonts w:hint="default" w:ascii="宋体" w:hAnsi="宋体" w:eastAsia="宋体" w:cs="宋体"/>
                <w:spacing w:val="-1"/>
                <w:sz w:val="21"/>
                <w:szCs w:val="21"/>
                <w:highlight w:val="none"/>
                <w:lang w:val="en-US" w:eastAsia="zh-CN"/>
              </w:rPr>
            </w:pPr>
            <w:r>
              <w:rPr>
                <w:rFonts w:hint="eastAsia" w:ascii="宋体" w:hAnsi="宋体" w:eastAsia="宋体" w:cs="宋体"/>
                <w:spacing w:val="-1"/>
                <w:sz w:val="21"/>
                <w:szCs w:val="21"/>
                <w:highlight w:val="none"/>
                <w:lang w:val="en-US" w:eastAsia="zh-CN"/>
              </w:rPr>
              <w:t>（满分</w:t>
            </w:r>
            <w:r>
              <w:rPr>
                <w:rFonts w:hint="eastAsia" w:ascii="宋体" w:hAnsi="宋体" w:eastAsia="宋体" w:cs="宋体"/>
                <w:spacing w:val="-1"/>
                <w:sz w:val="21"/>
                <w:szCs w:val="21"/>
                <w:highlight w:val="none"/>
                <w:u w:val="single"/>
                <w:lang w:val="en-US" w:eastAsia="zh-CN"/>
              </w:rPr>
              <w:t xml:space="preserve"> 6 </w:t>
            </w:r>
            <w:r>
              <w:rPr>
                <w:rFonts w:hint="eastAsia" w:ascii="宋体" w:hAnsi="宋体" w:eastAsia="宋体" w:cs="宋体"/>
                <w:spacing w:val="-1"/>
                <w:sz w:val="21"/>
                <w:szCs w:val="21"/>
                <w:highlight w:val="none"/>
                <w:lang w:val="en-US" w:eastAsia="zh-CN"/>
              </w:rPr>
              <w:t>分）</w:t>
            </w:r>
          </w:p>
        </w:tc>
        <w:tc>
          <w:tcPr>
            <w:tcW w:w="3021" w:type="pct"/>
            <w:vAlign w:val="center"/>
          </w:tcPr>
          <w:p>
            <w:pPr>
              <w:pStyle w:val="8"/>
              <w:rPr>
                <w:rFonts w:hint="default" w:ascii="宋体" w:hAnsi="宋体" w:eastAsia="宋体" w:cs="宋体"/>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u w:val="none"/>
                <w:lang w:val="en-US" w:eastAsia="zh-CN" w:bidi="ar"/>
              </w:rPr>
              <w:t>投标人响应项目免费质保2年的得3分，每承诺增加1年的加1.5分，满分6分。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1" w:hRule="atLeast"/>
        </w:trPr>
        <w:tc>
          <w:tcPr>
            <w:tcW w:w="492" w:type="pct"/>
            <w:vMerge w:val="continue"/>
            <w:vAlign w:val="center"/>
          </w:tcPr>
          <w:p>
            <w:pPr>
              <w:pStyle w:val="7"/>
              <w:adjustRightInd w:val="0"/>
              <w:snapToGrid w:val="0"/>
              <w:rPr>
                <w:rFonts w:hint="eastAsia" w:ascii="宋体" w:hAnsi="宋体" w:eastAsia="宋体" w:cs="宋体"/>
                <w:sz w:val="21"/>
                <w:szCs w:val="21"/>
                <w:highlight w:val="none"/>
              </w:rPr>
            </w:pPr>
          </w:p>
        </w:tc>
        <w:tc>
          <w:tcPr>
            <w:tcW w:w="513" w:type="pct"/>
            <w:vMerge w:val="continue"/>
            <w:vAlign w:val="center"/>
          </w:tcPr>
          <w:p>
            <w:pPr>
              <w:pStyle w:val="7"/>
              <w:adjustRightInd w:val="0"/>
              <w:snapToGrid w:val="0"/>
              <w:ind w:left="210" w:hanging="210" w:hangingChars="100"/>
              <w:rPr>
                <w:rFonts w:hint="eastAsia" w:ascii="宋体" w:hAnsi="宋体" w:eastAsia="宋体" w:cs="宋体"/>
                <w:sz w:val="21"/>
                <w:szCs w:val="21"/>
                <w:highlight w:val="none"/>
                <w:lang w:val="en-US" w:eastAsia="zh-CN"/>
              </w:rPr>
            </w:pPr>
          </w:p>
        </w:tc>
        <w:tc>
          <w:tcPr>
            <w:tcW w:w="972" w:type="pct"/>
            <w:vAlign w:val="center"/>
          </w:tcPr>
          <w:p>
            <w:pPr>
              <w:ind w:left="420" w:hanging="420" w:hangingChars="20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综合实力</w:t>
            </w:r>
          </w:p>
          <w:p>
            <w:pPr>
              <w:ind w:left="420" w:hanging="420" w:hangingChars="20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15  </w:t>
            </w:r>
            <w:r>
              <w:rPr>
                <w:rFonts w:hint="eastAsia" w:ascii="宋体" w:hAnsi="宋体" w:eastAsia="宋体" w:cs="宋体"/>
                <w:sz w:val="21"/>
                <w:szCs w:val="21"/>
                <w:highlight w:val="none"/>
                <w:u w:val="none"/>
                <w:lang w:val="en-US" w:eastAsia="zh-CN"/>
              </w:rPr>
              <w:t>分</w:t>
            </w:r>
            <w:r>
              <w:rPr>
                <w:rFonts w:hint="eastAsia" w:ascii="宋体" w:hAnsi="宋体" w:eastAsia="宋体" w:cs="宋体"/>
                <w:sz w:val="21"/>
                <w:szCs w:val="21"/>
                <w:highlight w:val="none"/>
                <w:lang w:eastAsia="zh-CN"/>
              </w:rPr>
              <w:t>）</w:t>
            </w:r>
          </w:p>
        </w:tc>
        <w:tc>
          <w:tcPr>
            <w:tcW w:w="3021" w:type="pct"/>
            <w:vAlign w:val="center"/>
          </w:tcPr>
          <w:p>
            <w:pPr>
              <w:pStyle w:val="8"/>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u w:val="none"/>
                <w:lang w:val="en-US" w:eastAsia="zh-CN" w:bidi="ar"/>
              </w:rPr>
              <w:t>根据投标人的实力，厂家供货能力、产品知名度、市场占有率、技术先进性、企业规模等综合进行评审，投标人提供相关证明材料：</w:t>
            </w:r>
          </w:p>
          <w:p>
            <w:pPr>
              <w:pStyle w:val="8"/>
              <w:rPr>
                <w:rFonts w:hint="default" w:ascii="宋体" w:hAnsi="宋体" w:eastAsia="宋体" w:cs="宋体"/>
                <w:color w:val="auto"/>
                <w:kern w:val="0"/>
                <w:sz w:val="21"/>
                <w:szCs w:val="21"/>
                <w:highlight w:val="none"/>
                <w:u w:val="none"/>
                <w:lang w:val="en-US" w:eastAsia="zh-CN" w:bidi="ar"/>
              </w:rPr>
            </w:pPr>
            <w:r>
              <w:rPr>
                <w:rFonts w:hint="default" w:ascii="宋体" w:hAnsi="宋体" w:eastAsia="宋体" w:cs="宋体"/>
                <w:color w:val="auto"/>
                <w:kern w:val="0"/>
                <w:sz w:val="21"/>
                <w:szCs w:val="21"/>
                <w:highlight w:val="none"/>
                <w:u w:val="none"/>
                <w:lang w:val="en-US" w:eastAsia="zh-CN" w:bidi="ar"/>
              </w:rPr>
              <w:t xml:space="preserve">优的 </w:t>
            </w:r>
            <w:r>
              <w:rPr>
                <w:rFonts w:hint="eastAsia" w:ascii="宋体" w:hAnsi="宋体" w:eastAsia="宋体" w:cs="宋体"/>
                <w:color w:val="auto"/>
                <w:kern w:val="0"/>
                <w:sz w:val="21"/>
                <w:szCs w:val="21"/>
                <w:highlight w:val="none"/>
                <w:u w:val="none"/>
                <w:lang w:val="en-US" w:eastAsia="zh-CN" w:bidi="ar"/>
              </w:rPr>
              <w:t>13</w:t>
            </w:r>
            <w:r>
              <w:rPr>
                <w:rFonts w:hint="default" w:ascii="宋体" w:hAnsi="宋体" w:eastAsia="宋体" w:cs="宋体"/>
                <w:color w:val="auto"/>
                <w:kern w:val="0"/>
                <w:sz w:val="21"/>
                <w:szCs w:val="21"/>
                <w:highlight w:val="none"/>
                <w:u w:val="none"/>
                <w:lang w:val="en-US" w:eastAsia="zh-CN" w:bidi="ar"/>
              </w:rPr>
              <w:t>分≤F≤</w:t>
            </w:r>
            <w:r>
              <w:rPr>
                <w:rFonts w:hint="eastAsia" w:ascii="宋体" w:hAnsi="宋体" w:eastAsia="宋体" w:cs="宋体"/>
                <w:color w:val="auto"/>
                <w:kern w:val="0"/>
                <w:sz w:val="21"/>
                <w:szCs w:val="21"/>
                <w:highlight w:val="none"/>
                <w:u w:val="none"/>
                <w:lang w:val="en-US" w:eastAsia="zh-CN" w:bidi="ar"/>
              </w:rPr>
              <w:t>15</w:t>
            </w:r>
            <w:r>
              <w:rPr>
                <w:rFonts w:hint="default" w:ascii="宋体" w:hAnsi="宋体" w:eastAsia="宋体" w:cs="宋体"/>
                <w:color w:val="auto"/>
                <w:kern w:val="0"/>
                <w:sz w:val="21"/>
                <w:szCs w:val="21"/>
                <w:highlight w:val="none"/>
                <w:u w:val="none"/>
                <w:lang w:val="en-US" w:eastAsia="zh-CN" w:bidi="ar"/>
              </w:rPr>
              <w:t xml:space="preserve"> 分；</w:t>
            </w:r>
          </w:p>
          <w:p>
            <w:pPr>
              <w:pStyle w:val="8"/>
              <w:rPr>
                <w:rFonts w:hint="default" w:ascii="宋体" w:hAnsi="宋体" w:eastAsia="宋体" w:cs="宋体"/>
                <w:color w:val="auto"/>
                <w:kern w:val="0"/>
                <w:sz w:val="21"/>
                <w:szCs w:val="21"/>
                <w:highlight w:val="none"/>
                <w:u w:val="none"/>
                <w:lang w:val="en-US" w:eastAsia="zh-CN" w:bidi="ar"/>
              </w:rPr>
            </w:pPr>
            <w:r>
              <w:rPr>
                <w:rFonts w:hint="default" w:ascii="宋体" w:hAnsi="宋体" w:eastAsia="宋体" w:cs="宋体"/>
                <w:color w:val="auto"/>
                <w:kern w:val="0"/>
                <w:sz w:val="21"/>
                <w:szCs w:val="21"/>
                <w:highlight w:val="none"/>
                <w:u w:val="none"/>
                <w:lang w:val="en-US" w:eastAsia="zh-CN" w:bidi="ar"/>
              </w:rPr>
              <w:t xml:space="preserve">良的得 </w:t>
            </w:r>
            <w:r>
              <w:rPr>
                <w:rFonts w:hint="eastAsia" w:ascii="宋体" w:hAnsi="宋体" w:eastAsia="宋体" w:cs="宋体"/>
                <w:color w:val="auto"/>
                <w:kern w:val="0"/>
                <w:sz w:val="21"/>
                <w:szCs w:val="21"/>
                <w:highlight w:val="none"/>
                <w:u w:val="none"/>
                <w:lang w:val="en-US" w:eastAsia="zh-CN" w:bidi="ar"/>
              </w:rPr>
              <w:t>11</w:t>
            </w:r>
            <w:r>
              <w:rPr>
                <w:rFonts w:hint="default" w:ascii="宋体" w:hAnsi="宋体" w:eastAsia="宋体" w:cs="宋体"/>
                <w:color w:val="auto"/>
                <w:kern w:val="0"/>
                <w:sz w:val="21"/>
                <w:szCs w:val="21"/>
                <w:highlight w:val="none"/>
                <w:u w:val="none"/>
                <w:lang w:val="en-US" w:eastAsia="zh-CN" w:bidi="ar"/>
              </w:rPr>
              <w:t>分≤F＜</w:t>
            </w:r>
            <w:r>
              <w:rPr>
                <w:rFonts w:hint="eastAsia" w:ascii="宋体" w:hAnsi="宋体" w:eastAsia="宋体" w:cs="宋体"/>
                <w:color w:val="auto"/>
                <w:kern w:val="0"/>
                <w:sz w:val="21"/>
                <w:szCs w:val="21"/>
                <w:highlight w:val="none"/>
                <w:u w:val="none"/>
                <w:lang w:val="en-US" w:eastAsia="zh-CN" w:bidi="ar"/>
              </w:rPr>
              <w:t>13</w:t>
            </w:r>
            <w:r>
              <w:rPr>
                <w:rFonts w:hint="default" w:ascii="宋体" w:hAnsi="宋体" w:eastAsia="宋体" w:cs="宋体"/>
                <w:color w:val="auto"/>
                <w:kern w:val="0"/>
                <w:sz w:val="21"/>
                <w:szCs w:val="21"/>
                <w:highlight w:val="none"/>
                <w:u w:val="none"/>
                <w:lang w:val="en-US" w:eastAsia="zh-CN" w:bidi="ar"/>
              </w:rPr>
              <w:t>分；</w:t>
            </w:r>
          </w:p>
          <w:p>
            <w:pPr>
              <w:pStyle w:val="8"/>
              <w:rPr>
                <w:rFonts w:hint="default" w:ascii="宋体" w:hAnsi="宋体" w:eastAsia="宋体" w:cs="宋体"/>
                <w:color w:val="auto"/>
                <w:kern w:val="0"/>
                <w:sz w:val="21"/>
                <w:szCs w:val="21"/>
                <w:highlight w:val="none"/>
                <w:u w:val="none"/>
                <w:lang w:val="en-US" w:eastAsia="zh-CN" w:bidi="ar"/>
              </w:rPr>
            </w:pPr>
            <w:r>
              <w:rPr>
                <w:rFonts w:hint="default" w:ascii="宋体" w:hAnsi="宋体" w:eastAsia="宋体" w:cs="宋体"/>
                <w:color w:val="auto"/>
                <w:kern w:val="0"/>
                <w:sz w:val="21"/>
                <w:szCs w:val="21"/>
                <w:highlight w:val="none"/>
                <w:u w:val="none"/>
                <w:lang w:val="en-US" w:eastAsia="zh-CN" w:bidi="ar"/>
              </w:rPr>
              <w:t>一般的得</w:t>
            </w:r>
            <w:r>
              <w:rPr>
                <w:rFonts w:hint="eastAsia" w:ascii="宋体" w:hAnsi="宋体" w:eastAsia="宋体" w:cs="宋体"/>
                <w:color w:val="auto"/>
                <w:kern w:val="0"/>
                <w:sz w:val="21"/>
                <w:szCs w:val="21"/>
                <w:highlight w:val="none"/>
                <w:u w:val="none"/>
                <w:lang w:val="en-US" w:eastAsia="zh-CN" w:bidi="ar"/>
              </w:rPr>
              <w:t>基础分9分</w:t>
            </w:r>
            <w:r>
              <w:rPr>
                <w:rFonts w:hint="default" w:ascii="宋体" w:hAnsi="宋体" w:eastAsia="宋体" w:cs="宋体"/>
                <w:color w:val="auto"/>
                <w:kern w:val="0"/>
                <w:sz w:val="21"/>
                <w:szCs w:val="21"/>
                <w:highlight w:val="none"/>
                <w:u w:val="none"/>
                <w:lang w:val="en-US" w:eastAsia="zh-CN" w:bidi="ar"/>
              </w:rPr>
              <w:t>；</w:t>
            </w:r>
          </w:p>
          <w:p>
            <w:pPr>
              <w:pStyle w:val="8"/>
              <w:rPr>
                <w:rFonts w:hint="default"/>
                <w:lang w:val="en-US" w:eastAsia="zh-CN"/>
              </w:rPr>
            </w:pPr>
            <w:r>
              <w:rPr>
                <w:rFonts w:hint="default" w:ascii="宋体" w:hAnsi="宋体" w:eastAsia="宋体" w:cs="宋体"/>
                <w:color w:val="auto"/>
                <w:kern w:val="0"/>
                <w:sz w:val="21"/>
                <w:szCs w:val="21"/>
                <w:highlight w:val="none"/>
                <w:u w:val="none"/>
                <w:lang w:val="en-US" w:eastAsia="zh-CN" w:bidi="ar"/>
              </w:rPr>
              <w:t>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0" w:hRule="atLeast"/>
        </w:trPr>
        <w:tc>
          <w:tcPr>
            <w:tcW w:w="492" w:type="pct"/>
            <w:vMerge w:val="continue"/>
            <w:vAlign w:val="center"/>
          </w:tcPr>
          <w:p>
            <w:pPr>
              <w:pStyle w:val="7"/>
              <w:adjustRightInd w:val="0"/>
              <w:snapToGrid w:val="0"/>
              <w:rPr>
                <w:rFonts w:hint="eastAsia" w:ascii="宋体" w:hAnsi="宋体" w:eastAsia="宋体" w:cs="宋体"/>
                <w:sz w:val="21"/>
                <w:szCs w:val="21"/>
                <w:highlight w:val="none"/>
              </w:rPr>
            </w:pPr>
          </w:p>
        </w:tc>
        <w:tc>
          <w:tcPr>
            <w:tcW w:w="513" w:type="pct"/>
            <w:vMerge w:val="continue"/>
            <w:vAlign w:val="center"/>
          </w:tcPr>
          <w:p>
            <w:pPr>
              <w:pStyle w:val="7"/>
              <w:adjustRightInd w:val="0"/>
              <w:snapToGrid w:val="0"/>
              <w:rPr>
                <w:rFonts w:hint="eastAsia" w:ascii="宋体" w:hAnsi="宋体" w:eastAsia="宋体" w:cs="宋体"/>
                <w:sz w:val="21"/>
                <w:szCs w:val="21"/>
                <w:highlight w:val="none"/>
              </w:rPr>
            </w:pPr>
          </w:p>
        </w:tc>
        <w:tc>
          <w:tcPr>
            <w:tcW w:w="972" w:type="pct"/>
            <w:vAlign w:val="center"/>
          </w:tcPr>
          <w:p>
            <w:pPr>
              <w:pStyle w:val="7"/>
              <w:adjustRightInd w:val="0"/>
              <w:snapToGrid w:val="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维保及供货方案</w:t>
            </w:r>
          </w:p>
          <w:p>
            <w:pPr>
              <w:pStyle w:val="7"/>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25  </w:t>
            </w:r>
            <w:r>
              <w:rPr>
                <w:rFonts w:hint="eastAsia" w:ascii="宋体" w:hAnsi="宋体" w:eastAsia="宋体" w:cs="宋体"/>
                <w:sz w:val="21"/>
                <w:szCs w:val="21"/>
                <w:highlight w:val="none"/>
              </w:rPr>
              <w:t>分）</w:t>
            </w:r>
          </w:p>
        </w:tc>
        <w:tc>
          <w:tcPr>
            <w:tcW w:w="3021" w:type="pct"/>
            <w:vAlign w:val="center"/>
          </w:tcPr>
          <w:p>
            <w:pPr>
              <w:pStyle w:val="7"/>
              <w:adjustRightInd w:val="0"/>
              <w:snapToGrid w:val="0"/>
              <w:ind w:firstLine="210" w:firstLineChars="100"/>
              <w:jc w:val="left"/>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u w:val="none"/>
                <w:lang w:val="en-US" w:eastAsia="zh-CN" w:bidi="ar"/>
              </w:rPr>
              <w:t>根据投标人递交的售后服务内容的详实性科学合理性，响应时间长短的服务承诺、企业是否有服务品牌、服务固定热线、供货方案等针对本项目的维保方案等方面进行综合评审：</w:t>
            </w:r>
          </w:p>
          <w:p>
            <w:pPr>
              <w:pStyle w:val="8"/>
              <w:rPr>
                <w:rFonts w:hint="default" w:ascii="宋体" w:hAnsi="宋体" w:eastAsia="宋体" w:cs="宋体"/>
                <w:color w:val="auto"/>
                <w:kern w:val="0"/>
                <w:sz w:val="21"/>
                <w:szCs w:val="21"/>
                <w:highlight w:val="none"/>
                <w:u w:val="none"/>
                <w:lang w:val="en-US" w:eastAsia="zh-CN" w:bidi="ar"/>
              </w:rPr>
            </w:pPr>
            <w:r>
              <w:rPr>
                <w:rFonts w:hint="default" w:ascii="宋体" w:hAnsi="宋体" w:eastAsia="宋体" w:cs="宋体"/>
                <w:color w:val="auto"/>
                <w:kern w:val="0"/>
                <w:sz w:val="21"/>
                <w:szCs w:val="21"/>
                <w:highlight w:val="none"/>
                <w:u w:val="none"/>
                <w:lang w:val="en-US" w:eastAsia="zh-CN" w:bidi="ar"/>
              </w:rPr>
              <w:t xml:space="preserve">优的 </w:t>
            </w:r>
            <w:r>
              <w:rPr>
                <w:rFonts w:hint="eastAsia" w:ascii="宋体" w:hAnsi="宋体" w:eastAsia="宋体" w:cs="宋体"/>
                <w:color w:val="auto"/>
                <w:kern w:val="0"/>
                <w:sz w:val="21"/>
                <w:szCs w:val="21"/>
                <w:highlight w:val="none"/>
                <w:u w:val="none"/>
                <w:lang w:val="en-US" w:eastAsia="zh-CN" w:bidi="ar"/>
              </w:rPr>
              <w:t>21</w:t>
            </w:r>
            <w:r>
              <w:rPr>
                <w:rFonts w:hint="default" w:ascii="宋体" w:hAnsi="宋体" w:eastAsia="宋体" w:cs="宋体"/>
                <w:color w:val="auto"/>
                <w:kern w:val="0"/>
                <w:sz w:val="21"/>
                <w:szCs w:val="21"/>
                <w:highlight w:val="none"/>
                <w:u w:val="none"/>
                <w:lang w:val="en-US" w:eastAsia="zh-CN" w:bidi="ar"/>
              </w:rPr>
              <w:t>分≤F≤</w:t>
            </w:r>
            <w:r>
              <w:rPr>
                <w:rFonts w:hint="eastAsia" w:ascii="宋体" w:hAnsi="宋体" w:eastAsia="宋体" w:cs="宋体"/>
                <w:color w:val="auto"/>
                <w:kern w:val="0"/>
                <w:sz w:val="21"/>
                <w:szCs w:val="21"/>
                <w:highlight w:val="none"/>
                <w:u w:val="none"/>
                <w:lang w:val="en-US" w:eastAsia="zh-CN" w:bidi="ar"/>
              </w:rPr>
              <w:t>25</w:t>
            </w:r>
            <w:r>
              <w:rPr>
                <w:rFonts w:hint="default" w:ascii="宋体" w:hAnsi="宋体" w:eastAsia="宋体" w:cs="宋体"/>
                <w:color w:val="auto"/>
                <w:kern w:val="0"/>
                <w:sz w:val="21"/>
                <w:szCs w:val="21"/>
                <w:highlight w:val="none"/>
                <w:u w:val="none"/>
                <w:lang w:val="en-US" w:eastAsia="zh-CN" w:bidi="ar"/>
              </w:rPr>
              <w:t>分；</w:t>
            </w:r>
          </w:p>
          <w:p>
            <w:pPr>
              <w:pStyle w:val="8"/>
              <w:rPr>
                <w:rFonts w:hint="default" w:ascii="宋体" w:hAnsi="宋体" w:eastAsia="宋体" w:cs="宋体"/>
                <w:color w:val="auto"/>
                <w:kern w:val="0"/>
                <w:sz w:val="21"/>
                <w:szCs w:val="21"/>
                <w:highlight w:val="none"/>
                <w:u w:val="none"/>
                <w:lang w:val="en-US" w:eastAsia="zh-CN" w:bidi="ar"/>
              </w:rPr>
            </w:pPr>
            <w:r>
              <w:rPr>
                <w:rFonts w:hint="default" w:ascii="宋体" w:hAnsi="宋体" w:eastAsia="宋体" w:cs="宋体"/>
                <w:color w:val="auto"/>
                <w:kern w:val="0"/>
                <w:sz w:val="21"/>
                <w:szCs w:val="21"/>
                <w:highlight w:val="none"/>
                <w:u w:val="none"/>
                <w:lang w:val="en-US" w:eastAsia="zh-CN" w:bidi="ar"/>
              </w:rPr>
              <w:t xml:space="preserve">良的得 </w:t>
            </w:r>
            <w:r>
              <w:rPr>
                <w:rFonts w:hint="eastAsia" w:ascii="宋体" w:hAnsi="宋体" w:eastAsia="宋体" w:cs="宋体"/>
                <w:color w:val="auto"/>
                <w:kern w:val="0"/>
                <w:sz w:val="21"/>
                <w:szCs w:val="21"/>
                <w:highlight w:val="none"/>
                <w:u w:val="none"/>
                <w:lang w:val="en-US" w:eastAsia="zh-CN" w:bidi="ar"/>
              </w:rPr>
              <w:t>17</w:t>
            </w:r>
            <w:r>
              <w:rPr>
                <w:rFonts w:hint="default" w:ascii="宋体" w:hAnsi="宋体" w:eastAsia="宋体" w:cs="宋体"/>
                <w:color w:val="auto"/>
                <w:kern w:val="0"/>
                <w:sz w:val="21"/>
                <w:szCs w:val="21"/>
                <w:highlight w:val="none"/>
                <w:u w:val="none"/>
                <w:lang w:val="en-US" w:eastAsia="zh-CN" w:bidi="ar"/>
              </w:rPr>
              <w:t>分≤F＜</w:t>
            </w:r>
            <w:r>
              <w:rPr>
                <w:rFonts w:hint="eastAsia" w:ascii="宋体" w:hAnsi="宋体" w:eastAsia="宋体" w:cs="宋体"/>
                <w:color w:val="auto"/>
                <w:kern w:val="0"/>
                <w:sz w:val="21"/>
                <w:szCs w:val="21"/>
                <w:highlight w:val="none"/>
                <w:u w:val="none"/>
                <w:lang w:val="en-US" w:eastAsia="zh-CN" w:bidi="ar"/>
              </w:rPr>
              <w:t>21</w:t>
            </w:r>
            <w:r>
              <w:rPr>
                <w:rFonts w:hint="default" w:ascii="宋体" w:hAnsi="宋体" w:eastAsia="宋体" w:cs="宋体"/>
                <w:color w:val="auto"/>
                <w:kern w:val="0"/>
                <w:sz w:val="21"/>
                <w:szCs w:val="21"/>
                <w:highlight w:val="none"/>
                <w:u w:val="none"/>
                <w:lang w:val="en-US" w:eastAsia="zh-CN" w:bidi="ar"/>
              </w:rPr>
              <w:t xml:space="preserve"> 分；</w:t>
            </w:r>
          </w:p>
          <w:p>
            <w:pPr>
              <w:pStyle w:val="8"/>
              <w:rPr>
                <w:rFonts w:hint="default" w:ascii="宋体" w:hAnsi="宋体" w:eastAsia="宋体" w:cs="宋体"/>
                <w:color w:val="auto"/>
                <w:kern w:val="0"/>
                <w:sz w:val="21"/>
                <w:szCs w:val="21"/>
                <w:highlight w:val="none"/>
                <w:u w:val="none"/>
                <w:lang w:val="en-US" w:eastAsia="zh-CN" w:bidi="ar"/>
              </w:rPr>
            </w:pPr>
            <w:r>
              <w:rPr>
                <w:rFonts w:hint="default" w:ascii="宋体" w:hAnsi="宋体" w:eastAsia="宋体" w:cs="宋体"/>
                <w:color w:val="auto"/>
                <w:kern w:val="0"/>
                <w:sz w:val="21"/>
                <w:szCs w:val="21"/>
                <w:highlight w:val="none"/>
                <w:u w:val="none"/>
                <w:lang w:val="en-US" w:eastAsia="zh-CN" w:bidi="ar"/>
              </w:rPr>
              <w:t>一般的得</w:t>
            </w:r>
            <w:r>
              <w:rPr>
                <w:rFonts w:hint="eastAsia" w:ascii="宋体" w:hAnsi="宋体" w:eastAsia="宋体" w:cs="宋体"/>
                <w:color w:val="auto"/>
                <w:kern w:val="0"/>
                <w:sz w:val="21"/>
                <w:szCs w:val="21"/>
                <w:highlight w:val="none"/>
                <w:u w:val="none"/>
                <w:lang w:val="en-US" w:eastAsia="zh-CN" w:bidi="ar"/>
              </w:rPr>
              <w:t>基础分15</w:t>
            </w:r>
            <w:r>
              <w:rPr>
                <w:rFonts w:hint="default" w:ascii="宋体" w:hAnsi="宋体" w:eastAsia="宋体" w:cs="宋体"/>
                <w:color w:val="auto"/>
                <w:kern w:val="0"/>
                <w:sz w:val="21"/>
                <w:szCs w:val="21"/>
                <w:highlight w:val="none"/>
                <w:u w:val="none"/>
                <w:lang w:val="en-US" w:eastAsia="zh-CN" w:bidi="ar"/>
              </w:rPr>
              <w:t>；</w:t>
            </w:r>
          </w:p>
          <w:p>
            <w:pPr>
              <w:pStyle w:val="8"/>
              <w:rPr>
                <w:rFonts w:hint="eastAsia"/>
                <w:lang w:eastAsia="zh-CN"/>
              </w:rPr>
            </w:pPr>
            <w:r>
              <w:rPr>
                <w:rFonts w:hint="default" w:ascii="宋体" w:hAnsi="宋体" w:eastAsia="宋体" w:cs="宋体"/>
                <w:color w:val="auto"/>
                <w:kern w:val="0"/>
                <w:sz w:val="21"/>
                <w:szCs w:val="21"/>
                <w:highlight w:val="none"/>
                <w:u w:val="none"/>
                <w:lang w:val="en-US" w:eastAsia="zh-CN" w:bidi="ar"/>
              </w:rPr>
              <w:t>未提供的不得分。</w:t>
            </w:r>
          </w:p>
        </w:tc>
      </w:tr>
    </w:tbl>
    <w:p>
      <w:pPr>
        <w:jc w:val="left"/>
        <w:rPr>
          <w:rFonts w:ascii="Times New Roman" w:hAnsi="Times New Roman" w:eastAsia="黑体" w:cs="Times New Roman"/>
          <w:bCs/>
          <w:sz w:val="24"/>
          <w:szCs w:val="32"/>
          <w:highlight w:val="none"/>
        </w:rPr>
      </w:pPr>
    </w:p>
    <w:p>
      <w:pPr>
        <w:pStyle w:val="7"/>
        <w:rPr>
          <w:rFonts w:ascii="Times New Roman" w:hAnsi="Times New Roman" w:eastAsia="黑体" w:cs="Times New Roman"/>
          <w:bCs/>
          <w:sz w:val="24"/>
          <w:szCs w:val="32"/>
          <w:highlight w:val="none"/>
        </w:rPr>
      </w:pPr>
    </w:p>
    <w:p>
      <w:pPr>
        <w:pStyle w:val="8"/>
      </w:pPr>
    </w:p>
    <w:p>
      <w:pPr>
        <w:jc w:val="left"/>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1. 评审方法</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本次评审采用</w:t>
      </w:r>
      <w:r>
        <w:rPr>
          <w:rFonts w:hint="eastAsia" w:ascii="Times New Roman" w:hAnsi="Times New Roman" w:cs="Times New Roman"/>
          <w:highlight w:val="none"/>
          <w:lang w:val="en-US" w:eastAsia="zh-CN"/>
        </w:rPr>
        <w:t>技术评分最低价</w:t>
      </w:r>
      <w:r>
        <w:rPr>
          <w:rFonts w:ascii="Times New Roman" w:hAnsi="Times New Roman" w:cs="Times New Roman"/>
          <w:highlight w:val="none"/>
        </w:rPr>
        <w:t>法。</w:t>
      </w:r>
      <w:r>
        <w:rPr>
          <w:rFonts w:hint="eastAsia" w:ascii="Times New Roman" w:hAnsi="Times New Roman" w:cs="Times New Roman"/>
          <w:highlight w:val="none"/>
          <w:lang w:val="en-US" w:eastAsia="zh-CN"/>
        </w:rPr>
        <w:t>评审委员会对通过初步评审的投标人的商务及技术文件进行评分，按得分由高到低排序确定前N名。对排名前N名的投标人的报价文件进行评审，按照评标价由低到高的顺序推荐3名中标候选人。</w:t>
      </w:r>
    </w:p>
    <w:p>
      <w:pPr>
        <w:keepNext/>
        <w:keepLines/>
        <w:spacing w:beforeLines="50" w:afterLines="50"/>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2. 评审标准</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2.1 初步评审标准</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2.1.1 形式评审标准：见评审办法前附表。</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2.1.2 资格评审标准：见评审办法前附表。</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2.1.3 响应性评审标准：见评审办法前附表。</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2.2 分值构成与评审标准</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2.2.1分值构成：</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Times New Roman" w:hAnsi="Times New Roman" w:cs="Times New Roman"/>
          <w:highlight w:val="none"/>
        </w:rPr>
        <w:t>业绩</w:t>
      </w:r>
      <w:r>
        <w:rPr>
          <w:rFonts w:ascii="Times New Roman" w:hAnsi="Times New Roman" w:cs="Times New Roman"/>
          <w:highlight w:val="none"/>
        </w:rPr>
        <w:t>：见评审办法前附表；</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lang w:val="en-US" w:eastAsia="zh-CN"/>
        </w:rPr>
        <w:t>2</w:t>
      </w:r>
      <w:r>
        <w:rPr>
          <w:rFonts w:ascii="Times New Roman" w:hAnsi="Times New Roman" w:cs="Times New Roman"/>
          <w:highlight w:val="none"/>
        </w:rPr>
        <w:t>）</w:t>
      </w:r>
      <w:r>
        <w:rPr>
          <w:rFonts w:hint="eastAsia" w:ascii="Times New Roman" w:hAnsi="Times New Roman" w:cs="Times New Roman"/>
          <w:highlight w:val="none"/>
        </w:rPr>
        <w:t>供货方案</w:t>
      </w:r>
      <w:r>
        <w:rPr>
          <w:rFonts w:ascii="Times New Roman" w:hAnsi="Times New Roman" w:cs="Times New Roman"/>
          <w:highlight w:val="none"/>
        </w:rPr>
        <w:t>：见评审办法前附表；</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lang w:val="en-US" w:eastAsia="zh-CN"/>
        </w:rPr>
        <w:t>3</w:t>
      </w:r>
      <w:r>
        <w:rPr>
          <w:rFonts w:ascii="Times New Roman" w:hAnsi="Times New Roman" w:cs="Times New Roman"/>
          <w:highlight w:val="none"/>
        </w:rPr>
        <w:t>）</w:t>
      </w:r>
      <w:r>
        <w:rPr>
          <w:rFonts w:hint="eastAsia" w:ascii="Times New Roman" w:hAnsi="Times New Roman" w:cs="Times New Roman"/>
          <w:highlight w:val="none"/>
        </w:rPr>
        <w:t>评审价</w:t>
      </w:r>
      <w:r>
        <w:rPr>
          <w:rFonts w:ascii="Times New Roman" w:hAnsi="Times New Roman" w:cs="Times New Roman"/>
          <w:highlight w:val="none"/>
        </w:rPr>
        <w:t>：见评审办法前附表。</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2.2.2 评分标准：</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Times New Roman" w:hAnsi="Times New Roman" w:cs="Times New Roman"/>
          <w:highlight w:val="none"/>
        </w:rPr>
        <w:t>业绩</w:t>
      </w:r>
      <w:r>
        <w:rPr>
          <w:rFonts w:ascii="Times New Roman" w:hAnsi="Times New Roman" w:cs="Times New Roman"/>
          <w:highlight w:val="none"/>
        </w:rPr>
        <w:t>评分标准：见评审办法前附表；</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（2）</w:t>
      </w:r>
      <w:r>
        <w:rPr>
          <w:rFonts w:hint="eastAsia" w:ascii="Times New Roman" w:hAnsi="Times New Roman" w:cs="Times New Roman"/>
          <w:highlight w:val="none"/>
        </w:rPr>
        <w:t>供货方案</w:t>
      </w:r>
      <w:r>
        <w:rPr>
          <w:rFonts w:ascii="Times New Roman" w:hAnsi="Times New Roman" w:cs="Times New Roman"/>
          <w:highlight w:val="none"/>
        </w:rPr>
        <w:t>评分标准：见评审办法前附表；</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lang w:val="en-US" w:eastAsia="zh-CN"/>
        </w:rPr>
        <w:t>3</w:t>
      </w:r>
      <w:r>
        <w:rPr>
          <w:rFonts w:ascii="Times New Roman" w:hAnsi="Times New Roman" w:cs="Times New Roman"/>
          <w:highlight w:val="none"/>
        </w:rPr>
        <w:t>）</w:t>
      </w:r>
      <w:r>
        <w:rPr>
          <w:rFonts w:hint="eastAsia" w:ascii="Times New Roman" w:hAnsi="Times New Roman" w:cs="Times New Roman"/>
          <w:highlight w:val="none"/>
        </w:rPr>
        <w:t>评审价</w:t>
      </w:r>
      <w:r>
        <w:rPr>
          <w:rFonts w:ascii="Times New Roman" w:hAnsi="Times New Roman" w:cs="Times New Roman"/>
          <w:highlight w:val="none"/>
        </w:rPr>
        <w:t>评分标准：见评审办法前附表。</w:t>
      </w:r>
    </w:p>
    <w:p>
      <w:pPr>
        <w:keepNext/>
        <w:keepLines/>
        <w:spacing w:beforeLines="50" w:afterLines="50"/>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 评审程序</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3.1 初步评审</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3.1.1</w:t>
      </w:r>
      <w:r>
        <w:rPr>
          <w:rFonts w:hint="eastAsia" w:ascii="Times New Roman" w:hAnsi="Times New Roman" w:cs="Times New Roman"/>
          <w:highlight w:val="none"/>
        </w:rPr>
        <w:t xml:space="preserve"> 评审小组</w:t>
      </w:r>
      <w:r>
        <w:rPr>
          <w:rFonts w:ascii="Times New Roman" w:hAnsi="Times New Roman" w:cs="Times New Roman"/>
          <w:highlight w:val="none"/>
        </w:rPr>
        <w:t>依据本章第2.1.1项、第2.1.2项、第2.1.3项规定的标准对响应文件进行评审。有一项不符合评审标准的，</w:t>
      </w:r>
      <w:r>
        <w:rPr>
          <w:rFonts w:hint="eastAsia" w:ascii="Times New Roman" w:hAnsi="Times New Roman" w:cs="Times New Roman"/>
          <w:highlight w:val="none"/>
        </w:rPr>
        <w:t>评审小组</w:t>
      </w:r>
      <w:r>
        <w:rPr>
          <w:rFonts w:ascii="Times New Roman" w:hAnsi="Times New Roman" w:cs="Times New Roman"/>
          <w:highlight w:val="none"/>
        </w:rPr>
        <w:t>应否决其</w:t>
      </w:r>
      <w:r>
        <w:rPr>
          <w:rFonts w:hint="eastAsia" w:ascii="Times New Roman" w:hAnsi="Times New Roman" w:cs="Times New Roman"/>
          <w:highlight w:val="none"/>
        </w:rPr>
        <w:t>响应文件</w:t>
      </w:r>
      <w:r>
        <w:rPr>
          <w:rFonts w:ascii="Times New Roman" w:hAnsi="Times New Roman" w:cs="Times New Roman"/>
          <w:highlight w:val="none"/>
        </w:rPr>
        <w:t>。</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3.1.</w:t>
      </w:r>
      <w:r>
        <w:rPr>
          <w:rFonts w:hint="eastAsia" w:ascii="Times New Roman" w:hAnsi="Times New Roman" w:cs="Times New Roman"/>
          <w:highlight w:val="none"/>
        </w:rPr>
        <w:t xml:space="preserve">2 </w:t>
      </w:r>
      <w:r>
        <w:rPr>
          <w:rFonts w:ascii="Times New Roman" w:hAnsi="Times New Roman" w:cs="Times New Roman"/>
          <w:highlight w:val="none"/>
        </w:rPr>
        <w:t>响应文件中填报的报价、</w:t>
      </w:r>
      <w:r>
        <w:rPr>
          <w:rFonts w:hint="eastAsia" w:ascii="Times New Roman" w:hAnsi="Times New Roman" w:cs="Times New Roman"/>
          <w:highlight w:val="none"/>
        </w:rPr>
        <w:t>交货期</w:t>
      </w:r>
      <w:r>
        <w:rPr>
          <w:rFonts w:ascii="Times New Roman" w:hAnsi="Times New Roman" w:cs="Times New Roman"/>
          <w:highlight w:val="none"/>
        </w:rPr>
        <w:t>、质量标准前后不一致</w:t>
      </w:r>
      <w:r>
        <w:rPr>
          <w:rFonts w:hint="eastAsia" w:ascii="Times New Roman" w:hAnsi="Times New Roman" w:cs="Times New Roman"/>
          <w:highlight w:val="none"/>
        </w:rPr>
        <w:t>，且报价函中填写的内容满足询比文件要求</w:t>
      </w:r>
      <w:r>
        <w:rPr>
          <w:rFonts w:ascii="Times New Roman" w:hAnsi="Times New Roman" w:cs="Times New Roman"/>
          <w:highlight w:val="none"/>
        </w:rPr>
        <w:t>时，</w:t>
      </w:r>
      <w:r>
        <w:rPr>
          <w:rFonts w:hint="eastAsia" w:ascii="Times New Roman" w:hAnsi="Times New Roman" w:cs="Times New Roman"/>
          <w:highlight w:val="none"/>
        </w:rPr>
        <w:t>按细微偏差处理，并</w:t>
      </w:r>
      <w:r>
        <w:rPr>
          <w:rFonts w:ascii="Times New Roman" w:hAnsi="Times New Roman" w:cs="Times New Roman"/>
          <w:highlight w:val="none"/>
        </w:rPr>
        <w:t>以报价函填报的为准</w:t>
      </w:r>
      <w:r>
        <w:rPr>
          <w:rFonts w:hint="eastAsia" w:ascii="Times New Roman" w:hAnsi="Times New Roman" w:cs="Times New Roman"/>
          <w:highlight w:val="none"/>
        </w:rPr>
        <w:t>。</w:t>
      </w:r>
    </w:p>
    <w:p>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 xml:space="preserve">3.1.3 </w:t>
      </w:r>
      <w:r>
        <w:rPr>
          <w:rFonts w:ascii="Times New Roman" w:hAnsi="Times New Roman" w:cs="Times New Roman"/>
          <w:highlight w:val="none"/>
        </w:rPr>
        <w:t>报价存在</w:t>
      </w:r>
      <w:r>
        <w:rPr>
          <w:rFonts w:hint="eastAsia" w:ascii="Times New Roman" w:hAnsi="Times New Roman" w:cs="Times New Roman"/>
          <w:highlight w:val="none"/>
        </w:rPr>
        <w:t>以下</w:t>
      </w:r>
      <w:r>
        <w:rPr>
          <w:rFonts w:ascii="Times New Roman" w:hAnsi="Times New Roman" w:cs="Times New Roman"/>
          <w:highlight w:val="none"/>
        </w:rPr>
        <w:t>细微偏差的，</w:t>
      </w:r>
      <w:r>
        <w:rPr>
          <w:rFonts w:hint="eastAsia" w:ascii="Times New Roman" w:hAnsi="Times New Roman" w:cs="Times New Roman"/>
          <w:highlight w:val="none"/>
        </w:rPr>
        <w:t>评审小组</w:t>
      </w:r>
      <w:r>
        <w:rPr>
          <w:rFonts w:ascii="Times New Roman" w:hAnsi="Times New Roman" w:cs="Times New Roman"/>
          <w:highlight w:val="none"/>
        </w:rPr>
        <w:t>按以上原则对报价进行处理，并要求供应商书面澄清确认，供应商拒不澄清确认的，</w:t>
      </w:r>
      <w:r>
        <w:rPr>
          <w:rFonts w:hint="eastAsia" w:ascii="Times New Roman" w:hAnsi="Times New Roman" w:cs="Times New Roman"/>
          <w:highlight w:val="none"/>
        </w:rPr>
        <w:t>评审小组</w:t>
      </w:r>
      <w:r>
        <w:rPr>
          <w:rFonts w:ascii="Times New Roman" w:hAnsi="Times New Roman" w:cs="Times New Roman"/>
          <w:highlight w:val="none"/>
        </w:rPr>
        <w:t>应当否决其报价。</w:t>
      </w:r>
    </w:p>
    <w:p>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（1）</w:t>
      </w:r>
      <w:r>
        <w:rPr>
          <w:rFonts w:ascii="Times New Roman" w:hAnsi="Times New Roman" w:cs="Times New Roman"/>
          <w:highlight w:val="none"/>
        </w:rPr>
        <w:t>报价有算术错误的，评审小组按以下原则对报价进行修正，修正的价格经供应商书面确认后具有约束力。供应商不接受修正价格的，评审小组应否决其报价。</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①响应文件中的大写金额与小写金额不一致的，以大写金额为准；</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②总价金额与依据单价计算出的结果不一致的，以单价金额为准修正总价，但单价金额小数点有明显错误的除外；</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③当单价与数量相乘不等于合价时，以单价计算为准，如果单价有明显的小数点位置差错，应以标出的合价为准，同时对单价予以修正；</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④当各子目的合价累计不等于总价时，应以各子目合价累计数为准，修正总价。</w:t>
      </w:r>
    </w:p>
    <w:p>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（2）报价</w:t>
      </w:r>
      <w:r>
        <w:rPr>
          <w:rFonts w:ascii="Times New Roman" w:hAnsi="Times New Roman" w:cs="Times New Roman"/>
          <w:highlight w:val="none"/>
        </w:rPr>
        <w:t>清单中的报价有其他错误的，评审小组按以下原则对报价进行修正，修正的价格经供应商书面确认后具有约束力。供应商不接受修正价格的，评审小组应否决其报价。</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①在采购人给定的清单中漏报了某个子目的单价、合价或总额价，或所报单价、合价或总额价减少了报价范围，则漏报的子目单价、合价和总额价或单价、合价和总额价中减少的报价内容视为已含入其他子目的单价、合价和总额价之中。</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②在采购人给定的清单中多报了某个子目的单价、合价或总额价，或所报单价、合价或总额价增加了报价范围，则从报价中扣除多报的子目报价或子目报价中增加了报价范围的部分报价。</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③当单价与数量的乘积与合价（金额）虽然一致，但供应商修改了该子目的数量，则其合价按采购人给定的数量乘以供应商所报单价予以修正。</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④当各子目的合价累计不等于总价时，应以各子目合价累计数为准，修正总价。</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3.1.</w:t>
      </w:r>
      <w:r>
        <w:rPr>
          <w:rFonts w:hint="eastAsia" w:ascii="Times New Roman" w:hAnsi="Times New Roman" w:cs="Times New Roman"/>
          <w:highlight w:val="none"/>
        </w:rPr>
        <w:t xml:space="preserve">4 </w:t>
      </w:r>
      <w:r>
        <w:rPr>
          <w:rFonts w:ascii="Times New Roman" w:hAnsi="Times New Roman" w:cs="Times New Roman"/>
          <w:highlight w:val="none"/>
        </w:rPr>
        <w:t>修正后的最终报价若超过最高限价（如有），</w:t>
      </w:r>
      <w:r>
        <w:rPr>
          <w:rFonts w:hint="eastAsia" w:ascii="Times New Roman" w:hAnsi="Times New Roman" w:cs="Times New Roman"/>
          <w:highlight w:val="none"/>
        </w:rPr>
        <w:t>评审小组</w:t>
      </w:r>
      <w:r>
        <w:rPr>
          <w:rFonts w:ascii="Times New Roman" w:hAnsi="Times New Roman" w:cs="Times New Roman"/>
          <w:highlight w:val="none"/>
        </w:rPr>
        <w:t>应否决其报价。</w:t>
      </w:r>
    </w:p>
    <w:p>
      <w:pPr>
        <w:spacing w:line="440" w:lineRule="exact"/>
        <w:ind w:firstLine="420"/>
        <w:rPr>
          <w:highlight w:val="none"/>
        </w:rPr>
      </w:pPr>
      <w:r>
        <w:rPr>
          <w:rFonts w:ascii="Times New Roman" w:hAnsi="Times New Roman" w:cs="Times New Roman"/>
          <w:highlight w:val="none"/>
        </w:rPr>
        <w:t>3.1.</w:t>
      </w:r>
      <w:r>
        <w:rPr>
          <w:rFonts w:hint="eastAsia" w:ascii="Times New Roman" w:hAnsi="Times New Roman" w:cs="Times New Roman"/>
          <w:highlight w:val="none"/>
        </w:rPr>
        <w:t>5</w:t>
      </w:r>
      <w:r>
        <w:rPr>
          <w:rFonts w:ascii="Times New Roman" w:hAnsi="Times New Roman" w:cs="Times New Roman"/>
          <w:highlight w:val="none"/>
        </w:rPr>
        <w:t xml:space="preserve"> </w:t>
      </w:r>
      <w:r>
        <w:rPr>
          <w:rFonts w:hint="eastAsia" w:ascii="Times New Roman" w:hAnsi="Times New Roman" w:cs="Times New Roman"/>
          <w:szCs w:val="21"/>
          <w:highlight w:val="none"/>
        </w:rPr>
        <w:t>修正后的</w:t>
      </w:r>
      <w:r>
        <w:rPr>
          <w:rFonts w:ascii="Times New Roman" w:hAnsi="Times New Roman" w:cs="Times New Roman"/>
          <w:highlight w:val="none"/>
        </w:rPr>
        <w:t>最终报价参与评审价得分的计算</w:t>
      </w:r>
      <w:r>
        <w:rPr>
          <w:rFonts w:hint="eastAsia" w:ascii="Times New Roman" w:hAnsi="Times New Roman" w:cs="Times New Roman"/>
          <w:highlight w:val="none"/>
        </w:rPr>
        <w:t>，并作为签订合同的依据</w:t>
      </w:r>
      <w:r>
        <w:rPr>
          <w:rFonts w:ascii="Times New Roman" w:hAnsi="Times New Roman" w:cs="Times New Roman"/>
          <w:highlight w:val="none"/>
        </w:rPr>
        <w:t>。</w:t>
      </w:r>
    </w:p>
    <w:p>
      <w:pPr>
        <w:keepNext/>
        <w:keepLines/>
        <w:spacing w:before="120" w:after="120"/>
        <w:outlineLvl w:val="2"/>
        <w:rPr>
          <w:rFonts w:ascii="Times New Roman" w:hAnsi="Times New Roman" w:cs="Times New Roman"/>
          <w:highlight w:val="none"/>
        </w:rPr>
      </w:pPr>
      <w:r>
        <w:rPr>
          <w:rFonts w:ascii="Times New Roman" w:hAnsi="Times New Roman" w:eastAsia="黑体" w:cs="Times New Roman"/>
          <w:bCs/>
          <w:sz w:val="24"/>
          <w:szCs w:val="32"/>
          <w:highlight w:val="none"/>
        </w:rPr>
        <w:t>3.2 详细评审</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 xml:space="preserve">3.2.1 </w:t>
      </w:r>
      <w:r>
        <w:rPr>
          <w:rFonts w:hint="eastAsia" w:ascii="Times New Roman" w:hAnsi="Times New Roman" w:cs="Times New Roman"/>
          <w:highlight w:val="none"/>
        </w:rPr>
        <w:t>评审小组</w:t>
      </w:r>
      <w:r>
        <w:rPr>
          <w:rFonts w:ascii="Times New Roman" w:hAnsi="Times New Roman" w:cs="Times New Roman"/>
          <w:highlight w:val="none"/>
        </w:rPr>
        <w:t>按本章第2.2款规定的量化因素和分值进行打分，并计算出</w:t>
      </w:r>
      <w:r>
        <w:rPr>
          <w:rFonts w:hint="eastAsia" w:ascii="Times New Roman" w:hAnsi="Times New Roman" w:cs="Times New Roman"/>
          <w:highlight w:val="none"/>
          <w:lang w:val="en-US" w:eastAsia="zh-CN"/>
        </w:rPr>
        <w:t>供</w:t>
      </w:r>
      <w:r>
        <w:rPr>
          <w:rFonts w:ascii="Times New Roman" w:hAnsi="Times New Roman" w:cs="Times New Roman"/>
          <w:highlight w:val="none"/>
        </w:rPr>
        <w:t>应商</w:t>
      </w:r>
      <w:r>
        <w:rPr>
          <w:rFonts w:hint="eastAsia" w:ascii="Times New Roman" w:hAnsi="Times New Roman" w:cs="Times New Roman"/>
          <w:highlight w:val="none"/>
          <w:lang w:val="en-US" w:eastAsia="zh-CN"/>
        </w:rPr>
        <w:t>的商务及技术文件</w:t>
      </w:r>
      <w:r>
        <w:rPr>
          <w:rFonts w:ascii="Times New Roman" w:hAnsi="Times New Roman" w:cs="Times New Roman"/>
          <w:highlight w:val="none"/>
        </w:rPr>
        <w:t>得分。</w:t>
      </w:r>
    </w:p>
    <w:p>
      <w:pPr>
        <w:spacing w:line="400" w:lineRule="exact"/>
        <w:ind w:firstLine="420" w:firstLineChars="200"/>
        <w:rPr>
          <w:rFonts w:ascii="Times New Roman" w:hAnsi="Times New Roman" w:cs="Times New Roman"/>
          <w:highlight w:val="none"/>
        </w:rPr>
      </w:pPr>
      <w:r>
        <w:rPr>
          <w:rFonts w:ascii="Times New Roman" w:hAnsi="Times New Roman" w:cs="Times New Roman"/>
          <w:highlight w:val="none"/>
        </w:rPr>
        <w:t>3.2.2 评分分值计算保留小数点后两位，小数点后第三位“四舍五入”。</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 xml:space="preserve">3.3 </w:t>
      </w:r>
      <w:r>
        <w:rPr>
          <w:rFonts w:hint="eastAsia" w:ascii="Times New Roman" w:hAnsi="Times New Roman" w:eastAsia="黑体" w:cs="Times New Roman"/>
          <w:bCs/>
          <w:sz w:val="24"/>
          <w:szCs w:val="32"/>
          <w:highlight w:val="none"/>
        </w:rPr>
        <w:t>否决响应文件</w:t>
      </w:r>
      <w:r>
        <w:rPr>
          <w:rFonts w:ascii="Times New Roman" w:hAnsi="Times New Roman" w:eastAsia="黑体" w:cs="Times New Roman"/>
          <w:bCs/>
          <w:sz w:val="24"/>
          <w:szCs w:val="32"/>
          <w:highlight w:val="none"/>
        </w:rPr>
        <w:t>的其他情形</w:t>
      </w:r>
    </w:p>
    <w:p>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评审小组</w:t>
      </w:r>
      <w:r>
        <w:rPr>
          <w:rFonts w:ascii="Times New Roman" w:hAnsi="Times New Roman" w:cs="Times New Roman"/>
          <w:highlight w:val="none"/>
        </w:rPr>
        <w:t>应对在评审过程中发现供应商存在串通报价、弄虚作假、行贿等违法行为的，</w:t>
      </w:r>
      <w:r>
        <w:rPr>
          <w:rFonts w:hint="eastAsia" w:ascii="Times New Roman" w:hAnsi="Times New Roman" w:cs="Times New Roman"/>
          <w:highlight w:val="none"/>
        </w:rPr>
        <w:t>评审小组</w:t>
      </w:r>
      <w:r>
        <w:rPr>
          <w:rFonts w:ascii="Times New Roman" w:hAnsi="Times New Roman" w:cs="Times New Roman"/>
          <w:highlight w:val="none"/>
        </w:rPr>
        <w:t>应否决其</w:t>
      </w:r>
      <w:r>
        <w:rPr>
          <w:rFonts w:hint="eastAsia" w:ascii="Times New Roman" w:hAnsi="Times New Roman" w:cs="Times New Roman"/>
          <w:highlight w:val="none"/>
        </w:rPr>
        <w:t>响应文件</w:t>
      </w:r>
      <w:r>
        <w:rPr>
          <w:rFonts w:ascii="Times New Roman" w:hAnsi="Times New Roman" w:cs="Times New Roman"/>
          <w:highlight w:val="none"/>
        </w:rPr>
        <w:t>。</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3.4 响应文件的澄清</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3.4.1 在评审过程中，</w:t>
      </w:r>
      <w:r>
        <w:rPr>
          <w:rFonts w:hint="eastAsia" w:ascii="Times New Roman" w:hAnsi="Times New Roman" w:cs="Times New Roman"/>
          <w:highlight w:val="none"/>
        </w:rPr>
        <w:t>评审小组</w:t>
      </w:r>
      <w:r>
        <w:rPr>
          <w:rFonts w:ascii="Times New Roman" w:hAnsi="Times New Roman" w:cs="Times New Roman"/>
          <w:highlight w:val="none"/>
        </w:rPr>
        <w:t>可以书面形式要求供应商对响应文件中含义不明确、对同类问题表述不一致或者有明显文字</w:t>
      </w:r>
      <w:r>
        <w:rPr>
          <w:rFonts w:hint="eastAsia" w:ascii="Times New Roman" w:hAnsi="Times New Roman" w:cs="Times New Roman"/>
          <w:highlight w:val="none"/>
        </w:rPr>
        <w:t>错误</w:t>
      </w:r>
      <w:r>
        <w:rPr>
          <w:rFonts w:ascii="Times New Roman" w:hAnsi="Times New Roman" w:cs="Times New Roman"/>
          <w:highlight w:val="none"/>
        </w:rPr>
        <w:t>的内容做必要的澄清。</w:t>
      </w:r>
      <w:r>
        <w:rPr>
          <w:rFonts w:hint="eastAsia" w:ascii="Times New Roman" w:hAnsi="Times New Roman" w:cs="Times New Roman"/>
          <w:highlight w:val="none"/>
        </w:rPr>
        <w:t>评审小组</w:t>
      </w:r>
      <w:r>
        <w:rPr>
          <w:rFonts w:ascii="Times New Roman" w:hAnsi="Times New Roman" w:cs="Times New Roman"/>
          <w:highlight w:val="none"/>
        </w:rPr>
        <w:t>不接受供应商主动提出的澄清。</w:t>
      </w:r>
    </w:p>
    <w:p>
      <w:pPr>
        <w:spacing w:line="440" w:lineRule="exact"/>
        <w:ind w:firstLine="420"/>
        <w:rPr>
          <w:rFonts w:ascii="Times New Roman" w:hAnsi="Times New Roman" w:cs="Times New Roman"/>
          <w:strike/>
          <w:highlight w:val="none"/>
        </w:rPr>
      </w:pPr>
      <w:r>
        <w:rPr>
          <w:rFonts w:ascii="Times New Roman" w:hAnsi="Times New Roman" w:cs="Times New Roman"/>
          <w:highlight w:val="none"/>
        </w:rPr>
        <w:t>3.4.2 澄清不得超出响应文件的范围且不得改变响应文件的实质性内容，并构成响应文件的组成部分。</w:t>
      </w:r>
    </w:p>
    <w:p>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w:t>
      </w:r>
      <w:r>
        <w:rPr>
          <w:rFonts w:hint="eastAsia" w:ascii="Times New Roman" w:hAnsi="Times New Roman" w:eastAsia="黑体" w:cs="Times New Roman"/>
          <w:bCs/>
          <w:sz w:val="24"/>
          <w:szCs w:val="32"/>
          <w:highlight w:val="none"/>
        </w:rPr>
        <w:t>5</w:t>
      </w:r>
      <w:r>
        <w:rPr>
          <w:rFonts w:ascii="Times New Roman" w:hAnsi="Times New Roman" w:eastAsia="黑体" w:cs="Times New Roman"/>
          <w:bCs/>
          <w:sz w:val="24"/>
          <w:szCs w:val="32"/>
          <w:highlight w:val="none"/>
        </w:rPr>
        <w:t xml:space="preserve"> 评审结果</w:t>
      </w:r>
    </w:p>
    <w:p>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评审小组</w:t>
      </w:r>
      <w:r>
        <w:rPr>
          <w:rFonts w:ascii="Times New Roman" w:hAnsi="Times New Roman" w:cs="Times New Roman"/>
          <w:highlight w:val="none"/>
        </w:rPr>
        <w:t>完成评审后，应当向采购人提交评审报告。评审报告应当如实记载以下内容：</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（一）采购项目基本情况</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（二）采购过程回顾</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（三）评审小组成员名单</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（四）询比评审工作</w:t>
      </w:r>
    </w:p>
    <w:p>
      <w:pPr>
        <w:spacing w:line="440" w:lineRule="exact"/>
        <w:ind w:firstLine="420"/>
        <w:rPr>
          <w:rFonts w:hint="eastAsia" w:ascii="Times New Roman" w:hAnsi="Times New Roman" w:cs="Times New Roman" w:eastAsiaTheme="minorEastAsia"/>
          <w:highlight w:val="none"/>
          <w:lang w:eastAsia="zh-CN"/>
        </w:rPr>
      </w:pPr>
      <w:r>
        <w:rPr>
          <w:rFonts w:hint="default" w:ascii="Times New Roman" w:hAnsi="Times New Roman" w:cs="Times New Roman"/>
          <w:highlight w:val="none"/>
        </w:rPr>
        <w:t>1、</w:t>
      </w:r>
      <w:r>
        <w:rPr>
          <w:rFonts w:ascii="Times New Roman" w:hAnsi="Times New Roman" w:cs="Times New Roman"/>
          <w:highlight w:val="none"/>
        </w:rPr>
        <w:t>评审办法</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技术评分最低价法</w:t>
      </w:r>
      <w:r>
        <w:rPr>
          <w:rFonts w:hint="eastAsia" w:ascii="Times New Roman" w:hAnsi="Times New Roman" w:cs="Times New Roman"/>
          <w:highlight w:val="none"/>
          <w:lang w:eastAsia="zh-CN"/>
        </w:rPr>
        <w:t>）</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2、初步评审情况（资格审查、形式性审查、响应性审查）</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3、</w:t>
      </w:r>
      <w:r>
        <w:rPr>
          <w:rFonts w:hint="eastAsia" w:ascii="Times New Roman" w:hAnsi="Times New Roman" w:cs="Times New Roman"/>
          <w:highlight w:val="none"/>
        </w:rPr>
        <w:t>详细评审情况（</w:t>
      </w:r>
      <w:r>
        <w:rPr>
          <w:rFonts w:ascii="Times New Roman" w:hAnsi="Times New Roman" w:cs="Times New Roman"/>
          <w:highlight w:val="none"/>
        </w:rPr>
        <w:t>供应商的</w:t>
      </w:r>
      <w:r>
        <w:rPr>
          <w:rFonts w:hint="eastAsia" w:ascii="Times New Roman" w:hAnsi="Times New Roman" w:cs="Times New Roman"/>
          <w:highlight w:val="none"/>
          <w:lang w:val="en-US" w:eastAsia="zh-CN"/>
        </w:rPr>
        <w:t>技术</w:t>
      </w:r>
      <w:r>
        <w:rPr>
          <w:rFonts w:ascii="Times New Roman" w:hAnsi="Times New Roman" w:cs="Times New Roman"/>
          <w:highlight w:val="none"/>
        </w:rPr>
        <w:t>评分情况</w:t>
      </w:r>
      <w:r>
        <w:rPr>
          <w:rFonts w:hint="eastAsia" w:ascii="Times New Roman" w:hAnsi="Times New Roman" w:cs="Times New Roman"/>
          <w:highlight w:val="none"/>
        </w:rPr>
        <w:t>）</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4、否决的供应商名单以及否决理由（如有）</w:t>
      </w:r>
    </w:p>
    <w:p>
      <w:pPr>
        <w:spacing w:line="440" w:lineRule="exact"/>
        <w:ind w:firstLine="420"/>
        <w:rPr>
          <w:rFonts w:ascii="Times New Roman" w:hAnsi="Times New Roman" w:cs="Times New Roman"/>
          <w:highlight w:val="none"/>
        </w:rPr>
      </w:pPr>
      <w:r>
        <w:rPr>
          <w:rFonts w:hint="default" w:ascii="Times New Roman" w:hAnsi="Times New Roman" w:cs="Times New Roman"/>
          <w:highlight w:val="none"/>
        </w:rPr>
        <w:t>5、</w:t>
      </w:r>
      <w:r>
        <w:rPr>
          <w:rFonts w:ascii="Times New Roman" w:hAnsi="Times New Roman" w:cs="Times New Roman"/>
          <w:highlight w:val="none"/>
        </w:rPr>
        <w:t>推荐候选供应商排序</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（五）需要说明的其他事项</w:t>
      </w:r>
    </w:p>
    <w:p>
      <w:pPr>
        <w:spacing w:line="440" w:lineRule="exact"/>
        <w:ind w:firstLine="420"/>
        <w:rPr>
          <w:rFonts w:ascii="Times New Roman" w:hAnsi="Times New Roman" w:cs="Times New Roman"/>
          <w:highlight w:val="none"/>
        </w:rPr>
      </w:pPr>
      <w:r>
        <w:rPr>
          <w:rFonts w:ascii="Times New Roman" w:hAnsi="Times New Roman" w:cs="Times New Roman"/>
          <w:highlight w:val="none"/>
        </w:rPr>
        <w:t>（六）评审附表</w:t>
      </w:r>
    </w:p>
    <w:p>
      <w:pPr>
        <w:spacing w:line="440" w:lineRule="exact"/>
        <w:ind w:firstLine="420"/>
        <w:rPr>
          <w:rFonts w:ascii="Times New Roman" w:hAnsi="Times New Roman" w:cs="Times New Roman"/>
          <w:highlight w:val="none"/>
        </w:rPr>
      </w:pPr>
      <w:r>
        <w:rPr>
          <w:rFonts w:hint="default" w:ascii="Times New Roman" w:hAnsi="Times New Roman" w:cs="Times New Roman"/>
          <w:highlight w:val="none"/>
        </w:rPr>
        <w:t>1、</w:t>
      </w:r>
      <w:r>
        <w:rPr>
          <w:rFonts w:ascii="Times New Roman" w:hAnsi="Times New Roman" w:cs="Times New Roman"/>
          <w:highlight w:val="none"/>
        </w:rPr>
        <w:t>响应文件开启记录表</w:t>
      </w:r>
    </w:p>
    <w:p>
      <w:pPr>
        <w:spacing w:line="440" w:lineRule="exact"/>
        <w:ind w:firstLine="420"/>
        <w:rPr>
          <w:rFonts w:ascii="Times New Roman" w:hAnsi="Times New Roman" w:cs="Times New Roman"/>
          <w:highlight w:val="none"/>
        </w:rPr>
      </w:pPr>
      <w:r>
        <w:rPr>
          <w:rFonts w:hint="default" w:ascii="Times New Roman" w:hAnsi="Times New Roman" w:cs="Times New Roman"/>
          <w:highlight w:val="none"/>
        </w:rPr>
        <w:t>2、</w:t>
      </w:r>
      <w:r>
        <w:rPr>
          <w:rFonts w:ascii="Times New Roman" w:hAnsi="Times New Roman" w:cs="Times New Roman"/>
          <w:highlight w:val="none"/>
        </w:rPr>
        <w:t>评审表格</w:t>
      </w:r>
    </w:p>
    <w:p>
      <w:pPr>
        <w:pStyle w:val="3"/>
        <w:numPr>
          <w:ilvl w:val="0"/>
          <w:numId w:val="0"/>
        </w:numPr>
        <w:spacing w:before="312" w:after="312"/>
        <w:ind w:leftChars="0"/>
        <w:jc w:val="center"/>
        <w:rPr>
          <w:rFonts w:ascii="Times New Roman" w:hAnsi="Times New Roman" w:eastAsia="宋体" w:cs="Times New Roman"/>
          <w:highlight w:val="none"/>
        </w:rPr>
      </w:pPr>
      <w:bookmarkStart w:id="61" w:name="_Toc3624"/>
      <w:r>
        <w:rPr>
          <w:rFonts w:hint="eastAsia" w:ascii="Times New Roman" w:hAnsi="Times New Roman" w:eastAsia="宋体" w:cs="Times New Roman"/>
          <w:highlight w:val="none"/>
          <w:lang w:val="en-US" w:eastAsia="zh-CN"/>
        </w:rPr>
        <w:t xml:space="preserve">第四章 </w:t>
      </w:r>
      <w:r>
        <w:rPr>
          <w:rFonts w:ascii="Times New Roman" w:hAnsi="Times New Roman" w:eastAsia="宋体" w:cs="Times New Roman"/>
          <w:highlight w:val="none"/>
        </w:rPr>
        <w:t>合同内容</w:t>
      </w:r>
      <w:bookmarkEnd w:id="61"/>
    </w:p>
    <w:p>
      <w:pPr>
        <w:rPr>
          <w:highlight w:val="none"/>
        </w:rPr>
      </w:pPr>
    </w:p>
    <w:p>
      <w:pPr>
        <w:pStyle w:val="3"/>
        <w:numPr>
          <w:ilvl w:val="255"/>
          <w:numId w:val="0"/>
        </w:numPr>
        <w:spacing w:before="312" w:after="312"/>
        <w:ind w:left="402"/>
        <w:outlineLvl w:val="9"/>
        <w:rPr>
          <w:rFonts w:hint="eastAsia" w:ascii="Times New Roman" w:hAnsi="Times New Roman" w:eastAsia="宋体" w:cs="Times New Roman"/>
          <w:highlight w:val="none"/>
        </w:rPr>
      </w:pPr>
    </w:p>
    <w:p>
      <w:pPr>
        <w:rPr>
          <w:rFonts w:hint="eastAsia" w:ascii="Times New Roman" w:hAnsi="Times New Roman" w:eastAsia="宋体" w:cs="Times New Roman"/>
          <w:highlight w:val="none"/>
        </w:rPr>
      </w:pPr>
    </w:p>
    <w:p>
      <w:pPr>
        <w:pStyle w:val="7"/>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pStyle w:val="28"/>
        <w:rPr>
          <w:rFonts w:hint="eastAsia" w:ascii="Times New Roman" w:hAnsi="Times New Roman" w:eastAsia="宋体" w:cs="Times New Roman"/>
          <w:highlight w:val="none"/>
        </w:rPr>
      </w:pPr>
    </w:p>
    <w:p>
      <w:pPr>
        <w:keepNext w:val="0"/>
        <w:keepLines w:val="0"/>
        <w:pageBreakBefore w:val="0"/>
        <w:kinsoku/>
        <w:overflowPunct/>
        <w:autoSpaceDE/>
        <w:autoSpaceDN/>
        <w:bidi w:val="0"/>
        <w:adjustRightInd/>
        <w:snapToGrid/>
        <w:spacing w:line="560" w:lineRule="exact"/>
        <w:jc w:val="center"/>
        <w:rPr>
          <w:rFonts w:hint="eastAsia" w:ascii="宋体" w:hAnsi="宋体" w:eastAsia="宋体" w:cs="宋体"/>
          <w:bCs/>
          <w:color w:val="auto"/>
          <w:sz w:val="44"/>
          <w:szCs w:val="44"/>
          <w:highlight w:val="none"/>
          <w:lang w:eastAsia="zh-CN"/>
        </w:rPr>
      </w:pPr>
      <w:bookmarkStart w:id="62" w:name="_Toc18078_WPSOffice_Level2"/>
      <w:r>
        <w:rPr>
          <w:rFonts w:hint="eastAsia" w:ascii="方正小标宋简体" w:hAnsi="方正小标宋简体" w:eastAsia="方正小标宋简体" w:cs="方正小标宋简体"/>
          <w:bCs/>
          <w:color w:val="auto"/>
          <w:sz w:val="44"/>
          <w:szCs w:val="44"/>
          <w:highlight w:val="none"/>
          <w:u w:val="single"/>
          <w:lang w:val="en-US" w:eastAsia="zh-CN"/>
        </w:rPr>
        <w:t xml:space="preserve">          </w:t>
      </w:r>
      <w:r>
        <w:rPr>
          <w:rFonts w:hint="eastAsia" w:ascii="方正小标宋简体" w:hAnsi="方正小标宋简体" w:eastAsia="方正小标宋简体" w:cs="方正小标宋简体"/>
          <w:bCs/>
          <w:color w:val="auto"/>
          <w:sz w:val="44"/>
          <w:szCs w:val="44"/>
          <w:highlight w:val="none"/>
          <w:u w:val="none"/>
          <w:lang w:val="en-US" w:eastAsia="zh-CN"/>
        </w:rPr>
        <w:t>项目</w:t>
      </w:r>
      <w:r>
        <w:rPr>
          <w:rFonts w:hint="eastAsia" w:ascii="方正小标宋简体" w:hAnsi="方正小标宋简体" w:eastAsia="方正小标宋简体" w:cs="方正小标宋简体"/>
          <w:bCs/>
          <w:color w:val="auto"/>
          <w:sz w:val="44"/>
          <w:szCs w:val="44"/>
          <w:highlight w:val="none"/>
          <w:u w:val="single"/>
          <w:lang w:val="en-US" w:eastAsia="zh-CN"/>
        </w:rPr>
        <w:t xml:space="preserve">       </w:t>
      </w:r>
      <w:r>
        <w:rPr>
          <w:rFonts w:hint="eastAsia" w:ascii="方正小标宋简体" w:hAnsi="方正小标宋简体" w:eastAsia="方正小标宋简体" w:cs="方正小标宋简体"/>
          <w:bCs/>
          <w:color w:val="auto"/>
          <w:sz w:val="44"/>
          <w:szCs w:val="44"/>
          <w:highlight w:val="none"/>
          <w:lang w:val="en-US" w:eastAsia="zh-CN"/>
        </w:rPr>
        <w:t>采购</w:t>
      </w:r>
      <w:r>
        <w:rPr>
          <w:rFonts w:hint="eastAsia" w:ascii="方正小标宋简体" w:hAnsi="方正小标宋简体" w:eastAsia="方正小标宋简体" w:cs="方正小标宋简体"/>
          <w:bCs/>
          <w:color w:val="auto"/>
          <w:sz w:val="44"/>
          <w:szCs w:val="44"/>
          <w:highlight w:val="none"/>
          <w:lang w:eastAsia="zh-CN"/>
        </w:rPr>
        <w:t>合同</w:t>
      </w:r>
    </w:p>
    <w:p>
      <w:pPr>
        <w:keepNext w:val="0"/>
        <w:keepLines w:val="0"/>
        <w:pageBreakBefore w:val="0"/>
        <w:kinsoku/>
        <w:overflowPunct/>
        <w:autoSpaceDE/>
        <w:autoSpaceDN/>
        <w:bidi w:val="0"/>
        <w:adjustRightInd/>
        <w:snapToGrid/>
        <w:spacing w:line="560" w:lineRule="exact"/>
        <w:ind w:left="5880"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甲方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采购方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u w:val="single"/>
        </w:rPr>
        <w:t>安徽省经工物资有限公司</w:t>
      </w:r>
      <w:r>
        <w:rPr>
          <w:rFonts w:hint="eastAsia" w:ascii="仿宋_GB2312" w:hAnsi="仿宋_GB2312" w:eastAsia="仿宋_GB2312" w:cs="仿宋_GB2312"/>
          <w:color w:val="auto"/>
          <w:sz w:val="28"/>
          <w:szCs w:val="28"/>
          <w:highlight w:val="none"/>
        </w:rPr>
        <w:t>（以下简称甲方）</w:t>
      </w:r>
    </w:p>
    <w:p>
      <w:pPr>
        <w:keepNext w:val="0"/>
        <w:keepLines w:val="0"/>
        <w:pageBreakBefore w:val="0"/>
        <w:widowControl w:val="0"/>
        <w:tabs>
          <w:tab w:val="left" w:pos="5370"/>
        </w:tabs>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供应方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 xml:space="preserve">（以下简称乙方）  </w:t>
      </w:r>
    </w:p>
    <w:p>
      <w:pPr>
        <w:keepNext w:val="0"/>
        <w:keepLines w:val="0"/>
        <w:pageBreakBefore w:val="0"/>
        <w:widowControl/>
        <w:suppressLineNumbers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rPr>
        <w:t>依据《</w:t>
      </w:r>
      <w:r>
        <w:rPr>
          <w:rFonts w:hint="eastAsia" w:ascii="仿宋_GB2312" w:hAnsi="仿宋_GB2312" w:eastAsia="仿宋_GB2312" w:cs="仿宋_GB2312"/>
          <w:color w:val="auto"/>
          <w:sz w:val="28"/>
          <w:szCs w:val="28"/>
          <w:highlight w:val="none"/>
          <w:lang w:eastAsia="zh-CN"/>
        </w:rPr>
        <w:t>中华人民共和国民法典</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及有关</w:t>
      </w:r>
      <w:r>
        <w:rPr>
          <w:rFonts w:hint="eastAsia" w:ascii="仿宋_GB2312" w:hAnsi="仿宋_GB2312" w:eastAsia="仿宋_GB2312" w:cs="仿宋_GB2312"/>
          <w:color w:val="auto"/>
          <w:sz w:val="28"/>
          <w:szCs w:val="28"/>
          <w:highlight w:val="none"/>
        </w:rPr>
        <w:t>规定，</w:t>
      </w:r>
      <w:r>
        <w:rPr>
          <w:rFonts w:hint="eastAsia" w:ascii="仿宋_GB2312" w:hAnsi="仿宋_GB2312" w:eastAsia="仿宋_GB2312" w:cs="仿宋_GB2312"/>
          <w:color w:val="auto"/>
          <w:sz w:val="28"/>
          <w:szCs w:val="28"/>
          <w:highlight w:val="none"/>
          <w:lang w:val="en-US" w:eastAsia="zh-CN"/>
        </w:rPr>
        <w:t>甲、乙双方经过友好协商，现就甲方向乙方购买</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用于</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项目有关事宜，达成如下一致条款</w:t>
      </w:r>
      <w:r>
        <w:rPr>
          <w:rFonts w:hint="eastAsia" w:ascii="仿宋_GB2312" w:hAnsi="仿宋_GB2312" w:eastAsia="仿宋_GB2312" w:cs="仿宋_GB2312"/>
          <w:color w:val="auto"/>
          <w:sz w:val="28"/>
          <w:szCs w:val="28"/>
          <w:highlight w:val="none"/>
          <w:u w:val="none"/>
        </w:rPr>
        <w:t>，</w:t>
      </w:r>
      <w:r>
        <w:rPr>
          <w:rFonts w:hint="eastAsia" w:ascii="仿宋_GB2312" w:hAnsi="仿宋_GB2312" w:eastAsia="仿宋_GB2312" w:cs="仿宋_GB2312"/>
          <w:color w:val="auto"/>
          <w:sz w:val="28"/>
          <w:szCs w:val="28"/>
          <w:highlight w:val="none"/>
          <w:u w:val="none"/>
          <w:lang w:val="en-US" w:eastAsia="zh-CN"/>
        </w:rPr>
        <w:t>以资双方共同遵照执行</w:t>
      </w:r>
      <w:r>
        <w:rPr>
          <w:rFonts w:hint="eastAsia" w:ascii="仿宋_GB2312" w:hAnsi="仿宋_GB2312" w:eastAsia="仿宋_GB2312" w:cs="仿宋_GB2312"/>
          <w:color w:val="auto"/>
          <w:sz w:val="28"/>
          <w:szCs w:val="28"/>
          <w:highlight w:val="none"/>
          <w:u w:val="none"/>
        </w:rPr>
        <w:t>：</w:t>
      </w:r>
    </w:p>
    <w:p>
      <w:pPr>
        <w:keepNext w:val="0"/>
        <w:keepLines w:val="0"/>
        <w:pageBreakBefore w:val="0"/>
        <w:kinsoku/>
        <w:overflowPunct/>
        <w:autoSpaceDE/>
        <w:autoSpaceDN/>
        <w:bidi w:val="0"/>
        <w:adjustRightInd/>
        <w:snapToGrid/>
        <w:spacing w:line="560" w:lineRule="exact"/>
        <w:ind w:firstLine="560" w:firstLineChars="200"/>
        <w:jc w:val="both"/>
        <w:rPr>
          <w:rFonts w:hint="eastAsia" w:ascii="黑体" w:hAnsi="黑体" w:eastAsia="黑体" w:cs="黑体"/>
          <w:b w:val="0"/>
          <w:bCs/>
          <w:color w:val="auto"/>
          <w:sz w:val="28"/>
          <w:szCs w:val="28"/>
          <w:highlight w:val="none"/>
          <w:lang w:val="en-US" w:eastAsia="zh-CN"/>
        </w:rPr>
      </w:pPr>
      <w:r>
        <w:rPr>
          <w:rFonts w:hint="eastAsia" w:ascii="黑体" w:hAnsi="黑体" w:eastAsia="黑体" w:cs="黑体"/>
          <w:b w:val="0"/>
          <w:bCs/>
          <w:color w:val="auto"/>
          <w:sz w:val="28"/>
          <w:szCs w:val="28"/>
          <w:highlight w:val="none"/>
          <w:lang w:val="en-US" w:eastAsia="zh-CN"/>
        </w:rPr>
        <w:t>第一条  合同价款</w:t>
      </w:r>
    </w:p>
    <w:p>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1.本合同总价人民币大写：</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w:t>
      </w:r>
    </w:p>
    <w:p>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具体报价清单见附件，产品为固定综合单价，已经包含税费、材料费（含辅材）、运输费、装卸费、人员成本、安装调试、各项实验检验费、验收费以及与货物有关的特殊要求等可能产生的所有成本和费用。在合同执行期内，材料单价不因市场波动、政策调整、人工涨跌等原因做任何形式的调整。本合同所列工程量为暂估数量，最终以签收数量（乙方无条件补货与退货，并承担相应的运输、装卸货等费用）和固定综合单价进行结算。</w:t>
      </w:r>
    </w:p>
    <w:p>
      <w:pPr>
        <w:keepNext w:val="0"/>
        <w:keepLines w:val="0"/>
        <w:pageBreakBefore w:val="0"/>
        <w:kinsoku/>
        <w:overflowPunct/>
        <w:autoSpaceDE/>
        <w:autoSpaceDN/>
        <w:bidi w:val="0"/>
        <w:adjustRightInd/>
        <w:snapToGrid/>
        <w:spacing w:line="560" w:lineRule="exact"/>
        <w:ind w:firstLine="560" w:firstLineChars="200"/>
        <w:jc w:val="both"/>
        <w:rPr>
          <w:rFonts w:ascii="宋体" w:hAnsi="宋体" w:cs="宋体"/>
          <w:b/>
          <w:bCs/>
          <w:color w:val="auto"/>
          <w:sz w:val="22"/>
          <w:szCs w:val="22"/>
          <w:highlight w:val="none"/>
        </w:rPr>
      </w:pPr>
      <w:r>
        <w:rPr>
          <w:rFonts w:hint="eastAsia" w:ascii="黑体" w:hAnsi="黑体" w:eastAsia="黑体" w:cs="黑体"/>
          <w:b w:val="0"/>
          <w:bCs/>
          <w:color w:val="auto"/>
          <w:sz w:val="28"/>
          <w:szCs w:val="28"/>
          <w:highlight w:val="none"/>
        </w:rPr>
        <w:t>第二条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交货方式、时间及地点</w:t>
      </w:r>
    </w:p>
    <w:p>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1.交货方式：乙方负责运送至甲方指定地点。</w:t>
      </w:r>
    </w:p>
    <w:p>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2.交货地点：甲方指定地点，乙方负责运送至甲方指定现场，并按甲方指定地点卸货。货物在验收合格并交付给甲方前的毁损、灭失，损失由乙方全额承担。</w:t>
      </w:r>
    </w:p>
    <w:p>
      <w:pPr>
        <w:keepNext w:val="0"/>
        <w:keepLines w:val="0"/>
        <w:pageBreakBefore w:val="0"/>
        <w:widowControl/>
        <w:suppressLineNumbers w:val="0"/>
        <w:kinsoku/>
        <w:wordWrap w:val="0"/>
        <w:overflowPunct/>
        <w:topLine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3.交货时间：乙方须在接到甲方通知后，按甲方通知时间完成供货。通知方式包括但不限于电话、短信、邮件、传真、微信，乙方确</w:t>
      </w:r>
    </w:p>
    <w:p>
      <w:pPr>
        <w:keepNext w:val="0"/>
        <w:keepLines w:val="0"/>
        <w:pageBreakBefore w:val="0"/>
        <w:kinsoku/>
        <w:overflowPunct/>
        <w:autoSpaceDE/>
        <w:autoSpaceDN/>
        <w:bidi w:val="0"/>
        <w:adjustRightInd/>
        <w:snapToGrid/>
        <w:spacing w:line="560" w:lineRule="exact"/>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认其有效联系人姓名</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，电话为</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，联系地址为：</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u w:val="none"/>
          <w:lang w:val="en-US" w:eastAsia="zh-CN" w:bidi="ar-SA"/>
        </w:rPr>
        <w:t>，</w:t>
      </w:r>
      <w:r>
        <w:rPr>
          <w:rFonts w:hint="eastAsia" w:ascii="仿宋_GB2312" w:hAnsi="仿宋_GB2312" w:eastAsia="仿宋_GB2312" w:cs="仿宋_GB2312"/>
          <w:color w:val="auto"/>
          <w:kern w:val="2"/>
          <w:sz w:val="28"/>
          <w:szCs w:val="28"/>
          <w:highlight w:val="none"/>
          <w:lang w:val="en-US" w:eastAsia="zh-CN" w:bidi="ar-SA"/>
        </w:rPr>
        <w:t>甲方以上述任一方式发出的通知均为合法有效的通知。</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三</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验收</w:t>
      </w:r>
    </w:p>
    <w:p>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乙方按约将货物送至</w:t>
      </w:r>
      <w:r>
        <w:rPr>
          <w:rFonts w:hint="eastAsia" w:ascii="仿宋_GB2312" w:hAnsi="仿宋_GB2312" w:eastAsia="仿宋_GB2312" w:cs="仿宋_GB2312"/>
          <w:color w:val="auto"/>
          <w:sz w:val="28"/>
          <w:szCs w:val="28"/>
          <w:highlight w:val="none"/>
          <w:lang w:val="en-US" w:eastAsia="zh-CN"/>
        </w:rPr>
        <w:t>现场</w:t>
      </w:r>
      <w:r>
        <w:rPr>
          <w:rFonts w:hint="eastAsia" w:ascii="仿宋_GB2312" w:hAnsi="仿宋_GB2312" w:eastAsia="仿宋_GB2312" w:cs="仿宋_GB2312"/>
          <w:color w:val="auto"/>
          <w:sz w:val="28"/>
          <w:szCs w:val="28"/>
          <w:highlight w:val="none"/>
          <w:lang w:eastAsia="zh-CN"/>
        </w:rPr>
        <w:t>后，需将货物卸至甲方指定地点，并经甲方签收确认。甲方指定</w:t>
      </w:r>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（联系方式为：</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w:t>
      </w:r>
      <w:r>
        <w:rPr>
          <w:rFonts w:hint="eastAsia" w:ascii="仿宋_GB2312" w:hAnsi="仿宋_GB2312" w:eastAsia="仿宋_GB2312" w:cs="仿宋_GB2312"/>
          <w:color w:val="auto"/>
          <w:sz w:val="28"/>
          <w:szCs w:val="28"/>
          <w:highlight w:val="none"/>
          <w:lang w:eastAsia="zh-CN"/>
        </w:rPr>
        <w:t>为</w:t>
      </w:r>
      <w:r>
        <w:rPr>
          <w:rFonts w:hint="eastAsia" w:ascii="仿宋_GB2312" w:hAnsi="仿宋_GB2312" w:eastAsia="仿宋_GB2312" w:cs="仿宋_GB2312"/>
          <w:color w:val="auto"/>
          <w:sz w:val="28"/>
          <w:szCs w:val="28"/>
          <w:highlight w:val="none"/>
          <w:lang w:val="en-US" w:eastAsia="zh-CN"/>
        </w:rPr>
        <w:t>货物签收确认</w:t>
      </w:r>
      <w:r>
        <w:rPr>
          <w:rFonts w:hint="eastAsia" w:ascii="仿宋_GB2312" w:hAnsi="仿宋_GB2312" w:eastAsia="仿宋_GB2312" w:cs="仿宋_GB2312"/>
          <w:color w:val="auto"/>
          <w:sz w:val="28"/>
          <w:szCs w:val="28"/>
          <w:highlight w:val="none"/>
          <w:lang w:eastAsia="zh-CN"/>
        </w:rPr>
        <w:t>人，</w:t>
      </w:r>
      <w:r>
        <w:rPr>
          <w:rFonts w:hint="eastAsia" w:ascii="仿宋_GB2312" w:hAnsi="仿宋_GB2312" w:eastAsia="仿宋_GB2312" w:cs="仿宋_GB2312"/>
          <w:color w:val="auto"/>
          <w:sz w:val="28"/>
          <w:szCs w:val="28"/>
          <w:highlight w:val="none"/>
          <w:lang w:val="en-US" w:eastAsia="zh-CN"/>
        </w:rPr>
        <w:t>并由其指定</w:t>
      </w:r>
      <w:r>
        <w:rPr>
          <w:rFonts w:hint="eastAsia" w:ascii="仿宋_GB2312" w:hAnsi="仿宋_GB2312" w:eastAsia="仿宋_GB2312" w:cs="仿宋_GB2312"/>
          <w:color w:val="auto"/>
          <w:sz w:val="28"/>
          <w:szCs w:val="28"/>
          <w:highlight w:val="none"/>
        </w:rPr>
        <w:t>现场</w:t>
      </w:r>
      <w:r>
        <w:rPr>
          <w:rFonts w:hint="eastAsia" w:ascii="仿宋_GB2312" w:hAnsi="仿宋_GB2312" w:eastAsia="仿宋_GB2312" w:cs="仿宋_GB2312"/>
          <w:color w:val="auto"/>
          <w:sz w:val="28"/>
          <w:szCs w:val="28"/>
          <w:highlight w:val="none"/>
          <w:lang w:val="en-US" w:eastAsia="zh-CN"/>
        </w:rPr>
        <w:t>人员对货物进行签收。如果</w:t>
      </w:r>
      <w:r>
        <w:rPr>
          <w:rFonts w:hint="eastAsia" w:ascii="仿宋_GB2312" w:hAnsi="仿宋_GB2312" w:eastAsia="仿宋_GB2312" w:cs="仿宋_GB2312"/>
          <w:color w:val="auto"/>
          <w:sz w:val="28"/>
          <w:szCs w:val="28"/>
          <w:highlight w:val="none"/>
        </w:rPr>
        <w:t>现场签收</w:t>
      </w:r>
      <w:r>
        <w:rPr>
          <w:rFonts w:hint="eastAsia" w:ascii="仿宋_GB2312" w:hAnsi="仿宋_GB2312" w:eastAsia="仿宋_GB2312" w:cs="仿宋_GB2312"/>
          <w:color w:val="auto"/>
          <w:sz w:val="28"/>
          <w:szCs w:val="28"/>
          <w:highlight w:val="none"/>
          <w:lang w:val="en-US" w:eastAsia="zh-CN"/>
        </w:rPr>
        <w:t>人员发生变更，甲方会通知乙方重新指定。</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将货物送至甲方指定地点卸货后，需拍摄货物卸载后照片，照片须带有时间、地点等水印信息；同时需拍摄货物卸载过程及卸载后视频影像，影像内容须体现项目（工地）名称，货物堆放全貌，货物颜色、品类、数量、堆放位置等有利于货物识别的相关信息。如乙方提供以上虚假影像资料，甲方将视乙方未供应该批次货物，乙方需承担由此给甲方造成的所有损失。</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eastAsia="zh-CN"/>
        </w:rPr>
        <w:t>在乙方将货物送至现场后，甲方</w:t>
      </w:r>
      <w:r>
        <w:rPr>
          <w:rFonts w:hint="eastAsia" w:ascii="仿宋_GB2312" w:hAnsi="仿宋_GB2312" w:eastAsia="仿宋_GB2312" w:cs="仿宋_GB2312"/>
          <w:color w:val="auto"/>
          <w:sz w:val="28"/>
          <w:szCs w:val="28"/>
          <w:highlight w:val="none"/>
          <w:lang w:val="en-US" w:eastAsia="zh-CN"/>
        </w:rPr>
        <w:t>清晰</w:t>
      </w:r>
      <w:r>
        <w:rPr>
          <w:rFonts w:hint="eastAsia" w:ascii="仿宋_GB2312" w:hAnsi="仿宋_GB2312" w:eastAsia="仿宋_GB2312" w:cs="仿宋_GB2312"/>
          <w:color w:val="auto"/>
          <w:sz w:val="28"/>
          <w:szCs w:val="28"/>
          <w:highlight w:val="none"/>
          <w:lang w:eastAsia="zh-CN"/>
        </w:rPr>
        <w:t>有权在现场车上或货物堆放在指定地点后按物品的特性及行业惯例进行验收。如甲方认为乙方送货的数量与送货单记载数量不符的，则可以随时抽检。</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lang w:eastAsia="zh-CN"/>
        </w:rPr>
        <w:t>对于货物的规格型号、数量、材质等与约定不符或有其他质量问题的,甲方异议期为货物签收后</w:t>
      </w:r>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u w:val="single"/>
          <w:lang w:val="en-US" w:eastAsia="zh-CN"/>
        </w:rPr>
        <w:t>5</w:t>
      </w:r>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lang w:eastAsia="zh-CN"/>
        </w:rPr>
        <w:t>日内，异议经核实乙方应无条件补足或换货。</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default" w:ascii="黑体" w:hAnsi="黑体" w:eastAsia="黑体" w:cs="黑体"/>
          <w:b w:val="0"/>
          <w:bCs/>
          <w:color w:val="auto"/>
          <w:sz w:val="28"/>
          <w:szCs w:val="28"/>
          <w:highlight w:val="none"/>
          <w:lang w:val="en-US"/>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四</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产品质量和包装</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1.本合同的缺陷责任期为交工验收通过后</w:t>
      </w:r>
      <w:r>
        <w:rPr>
          <w:rFonts w:hint="eastAsia" w:ascii="仿宋_GB2312" w:hAnsi="仿宋_GB2312" w:eastAsia="仿宋_GB2312" w:cs="仿宋_GB2312"/>
          <w:color w:val="auto"/>
          <w:sz w:val="28"/>
          <w:szCs w:val="28"/>
          <w:highlight w:val="none"/>
          <w:u w:val="single"/>
          <w:lang w:val="en-US" w:eastAsia="zh-CN"/>
        </w:rPr>
        <w:t xml:space="preserve">  2  </w:t>
      </w:r>
      <w:r>
        <w:rPr>
          <w:rFonts w:hint="eastAsia" w:ascii="仿宋_GB2312" w:hAnsi="仿宋_GB2312" w:eastAsia="仿宋_GB2312" w:cs="仿宋_GB2312"/>
          <w:color w:val="auto"/>
          <w:sz w:val="28"/>
          <w:szCs w:val="28"/>
          <w:highlight w:val="none"/>
          <w:lang w:val="en-US" w:eastAsia="zh-CN"/>
        </w:rPr>
        <w:t>年，质量保证期（以下简称质保期）为交工验收合格后</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年。质保期内乙方进行质量“三包”，质量三包不包括因不可抗力因素和人为因素造成的损坏。乙方供应产品质量必须满足国家或本行业现行的技术标准并满足该项目需要。甲方对产品技术标准另有要求的，必须达到甲方指定标准。对于特殊产品需要提供质量外检服务的，费用由乙方承担。</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2.质保期满后，若有零部件或货物出现故障，经鉴定属于寿命异常问题（明显短于该零部件或货物正常寿命）时，则由乙方负责免费更换维修。质保期满后，乙方以优惠价格向甲方提供所需的零配件或货物。</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3.乙方必须提供合同标的中所有产品的合格证、产品说明书。检测报告、第三方检测报告（如有）、随机附件、工具（如有），货到现场后交给现场的收货人员。</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4.合同标的中若有进口产品，则乙方必须提供原产地证明、单机产品序列号、原生产厂商质量保证书、报关单等证明材料。</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5.产品包装应符合国家标准。乙方应承担由于其包装或其防护措施不妥而引起货物锈蚀、损坏和丢失等任何损失的责任或费用。产品在卸货后剥离包装物同时负责回收或送到包装清理指定地点。</w:t>
      </w:r>
    </w:p>
    <w:p>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u w:val="none"/>
          <w:lang w:val="en-US" w:eastAsia="zh-CN"/>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五</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价款结算及付款方式</w:t>
      </w:r>
    </w:p>
    <w:p>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1.工程量据实结算，货到现场并卸货到指定项目地点经项目部及甲方指定现场签收人验收签字，当供货金额达到合同金额的50%后方可办理第一批货款支付，支付已供货金额的70%。</w:t>
      </w:r>
    </w:p>
    <w:p>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2.产品全部供货到现场经甲方指定验收人验收合格并办理完成结算手续后，甲方向乙方支付至结算价的97 %。</w:t>
      </w:r>
    </w:p>
    <w:p>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3.剩余 3% 作为工程质保金，质保期结束后无息返还。</w:t>
      </w:r>
    </w:p>
    <w:p>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乙方供货后15日内将所送货物的送货单(需为经甲方指定签收人签字确认的有效送货单)汇总后向甲方提交书面对账清单，经甲方确认后方可作为价款结算和付款依据。若因乙方迟延提交对账清单，因此造成的损失由乙方自行承担。</w:t>
      </w:r>
    </w:p>
    <w:p>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5.乙方提供符合采购人财务要求的国家税务局13%增值税专用发票后办理结算，发票需要做到“三流一致”，也即“货物、劳务及应税服务流”、“资金流”、“发票流”必须都是同一受票方。</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lang w:val="en-US" w:eastAsia="zh-CN"/>
        </w:rPr>
        <w:t xml:space="preserve">第六条  </w:t>
      </w:r>
      <w:r>
        <w:rPr>
          <w:rFonts w:hint="eastAsia" w:ascii="黑体" w:hAnsi="黑体" w:eastAsia="黑体" w:cs="黑体"/>
          <w:b w:val="0"/>
          <w:bCs/>
          <w:color w:val="auto"/>
          <w:sz w:val="28"/>
          <w:szCs w:val="28"/>
          <w:highlight w:val="none"/>
        </w:rPr>
        <w:t>违约责任</w:t>
      </w:r>
    </w:p>
    <w:p>
      <w:pPr>
        <w:keepNext w:val="0"/>
        <w:keepLines w:val="0"/>
        <w:pageBreakBefore w:val="0"/>
        <w:widowControl w:val="0"/>
        <w:kinsoku/>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乙方若逾期交货，需支付甲方逾期交货部分价款每日5%的违约金，迟延交付超过3日的，甲方有权解除合同，或将乙方承担的一部分供货任务交由其他供货商供应；甲方解除合同的，乙方须向甲方支付合同总价款20%违约金，并应赔偿甲方由此造成的全部损失，同时承担甲方由此支付的诉讼费、律师费等实现债权的费用。交付货物没有通过甲方检验，造成交付迟延，按照上款承担违约责任。</w:t>
      </w:r>
    </w:p>
    <w:p>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交付的货物不符合约定标准，按合同总价款20%向甲方支付违约金。同时应在3日内履行更换义务，更换后的货物仍不符合原定质量要求的，甲方可解除合同。甲方解除合同的，乙方须向甲方支付合同总价款20%违约金，并应赔偿甲方由此造成的全部损失，同时承担甲方由此支付的诉讼费、律师费等实现债权的费用。</w:t>
      </w:r>
    </w:p>
    <w:p>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3.乙方违反合同约定的其他自身义务时，给甲方造成损失的，甲方均有权解除合同，并有权要求乙方按上述第1、2项规定承担赔偿责任，支付违约金。</w:t>
      </w:r>
    </w:p>
    <w:p>
      <w:pPr>
        <w:keepNext w:val="0"/>
        <w:keepLines w:val="0"/>
        <w:pageBreakBefore w:val="0"/>
        <w:numPr>
          <w:ilvl w:val="0"/>
          <w:numId w:val="0"/>
        </w:numPr>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4.对于乙方因违反本合同约定需支付的违约金，甲方有权在应付货款中直接予以扣除。 </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七</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其他约定</w:t>
      </w:r>
    </w:p>
    <w:p>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1.乙方送货车辆到甲方现场后，在行驶和卸货过程中，乙方驾驶人员应自行察看周围地形，乙方车辆在甲方现场若出现事故产生损失或造成对第三人侵权等其他情形，一切损失和责任均由乙方自行承担。</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2.乙方必须服从甲方指定项目部的全面协调管理工作，乙方在装卸中，严格遵守执行安全操作规范、防火规定、工艺规范等规范规定以及质量标准。</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3.乙方要保证项目的供货进度，不得拖延，如因乙方造成工期拖延，乙方将承担给甲方造成的   损失。乙方应保证甲方项目施工现场整洁，做好成品保护及甲方财产保护工作。乙方应确保货物到现场装卸过程中的安全，对在装卸过程中发生的任何财产或人身损害承担赔偿责任。</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乙方必须保证甲方在使用乙方提供的货物时，不存在任何已知的不合法的情形，也不存在已知的与第三方专利权、著作权、商标权等相关的任何争议，如果有任何因甲方使用乙方提供的货物而提起的侵权指控，或供应假冒伪劣货物，乙方依法承担全部责任。</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八</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争议解决方式</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在履行合同期间发生纠份，先由双方协商解决，协商不成，双方约定向甲方所在地人民法院提起诉讼。</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lang w:val="en-US" w:eastAsia="zh-CN"/>
        </w:rPr>
      </w:pPr>
      <w:r>
        <w:rPr>
          <w:rFonts w:hint="eastAsia" w:ascii="黑体" w:hAnsi="黑体" w:eastAsia="黑体" w:cs="黑体"/>
          <w:color w:val="auto"/>
          <w:sz w:val="28"/>
          <w:szCs w:val="28"/>
          <w:highlight w:val="none"/>
          <w:lang w:val="en-US" w:eastAsia="zh-CN"/>
        </w:rPr>
        <w:t>第</w:t>
      </w:r>
      <w:r>
        <w:rPr>
          <w:rFonts w:hint="eastAsia" w:ascii="黑体" w:hAnsi="黑体" w:eastAsia="黑体" w:cs="黑体"/>
          <w:b w:val="0"/>
          <w:bCs/>
          <w:color w:val="auto"/>
          <w:sz w:val="28"/>
          <w:szCs w:val="28"/>
          <w:highlight w:val="none"/>
          <w:lang w:val="en-US" w:eastAsia="zh-CN"/>
        </w:rPr>
        <w:t>九条</w:t>
      </w:r>
    </w:p>
    <w:p>
      <w:pPr>
        <w:keepNext w:val="0"/>
        <w:keepLines w:val="0"/>
        <w:pageBreakBefore w:val="0"/>
        <w:numPr>
          <w:ilvl w:val="0"/>
          <w:numId w:val="0"/>
        </w:numPr>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1.本合同未尽事宜，由双方另行协商解决并签订补充协议。</w:t>
      </w:r>
    </w:p>
    <w:p>
      <w:pPr>
        <w:keepNext w:val="0"/>
        <w:keepLines w:val="0"/>
        <w:pageBreakBefore w:val="0"/>
        <w:numPr>
          <w:ilvl w:val="0"/>
          <w:numId w:val="0"/>
        </w:numPr>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2.本合同自甲乙双方签字盖章之日起生效。</w:t>
      </w:r>
    </w:p>
    <w:p>
      <w:pPr>
        <w:pStyle w:val="7"/>
        <w:keepNext w:val="0"/>
        <w:keepLines w:val="0"/>
        <w:pageBreakBefore w:val="0"/>
        <w:kinsoku/>
        <w:overflowPunct/>
        <w:autoSpaceDE/>
        <w:autoSpaceDN/>
        <w:bidi w:val="0"/>
        <w:adjustRightInd/>
        <w:snapToGrid/>
        <w:spacing w:line="560" w:lineRule="exact"/>
        <w:ind w:firstLine="560" w:firstLineChars="200"/>
        <w:jc w:val="both"/>
        <w:rPr>
          <w:rFonts w:hint="eastAsia"/>
          <w:color w:val="auto"/>
          <w:highlight w:val="none"/>
          <w:lang w:val="en-US" w:eastAsia="zh-CN"/>
        </w:rPr>
      </w:pPr>
      <w:r>
        <w:rPr>
          <w:rFonts w:hint="eastAsia" w:ascii="仿宋_GB2312" w:hAnsi="仿宋_GB2312" w:eastAsia="仿宋_GB2312" w:cs="仿宋_GB2312"/>
          <w:color w:val="auto"/>
          <w:sz w:val="28"/>
          <w:szCs w:val="28"/>
          <w:highlight w:val="none"/>
          <w:lang w:val="en-US" w:eastAsia="zh-CN"/>
        </w:rPr>
        <w:t>3.本合同一式</w:t>
      </w:r>
      <w:r>
        <w:rPr>
          <w:rFonts w:hint="eastAsia" w:ascii="仿宋_GB2312" w:hAnsi="仿宋_GB2312" w:eastAsia="仿宋_GB2312" w:cs="仿宋_GB2312"/>
          <w:color w:val="auto"/>
          <w:sz w:val="28"/>
          <w:szCs w:val="28"/>
          <w:highlight w:val="none"/>
          <w:u w:val="single"/>
          <w:lang w:val="en-US" w:eastAsia="zh-CN"/>
        </w:rPr>
        <w:t xml:space="preserve">  肆  </w:t>
      </w:r>
      <w:r>
        <w:rPr>
          <w:rFonts w:hint="eastAsia" w:ascii="仿宋_GB2312" w:hAnsi="仿宋_GB2312" w:eastAsia="仿宋_GB2312" w:cs="仿宋_GB2312"/>
          <w:color w:val="auto"/>
          <w:sz w:val="28"/>
          <w:szCs w:val="28"/>
          <w:highlight w:val="none"/>
          <w:lang w:val="en-US" w:eastAsia="zh-CN"/>
        </w:rPr>
        <w:t>份，甲方执</w:t>
      </w:r>
      <w:r>
        <w:rPr>
          <w:rFonts w:hint="eastAsia" w:ascii="仿宋_GB2312" w:hAnsi="仿宋_GB2312" w:eastAsia="仿宋_GB2312" w:cs="仿宋_GB2312"/>
          <w:color w:val="auto"/>
          <w:sz w:val="28"/>
          <w:szCs w:val="28"/>
          <w:highlight w:val="none"/>
          <w:u w:val="single"/>
          <w:lang w:val="en-US" w:eastAsia="zh-CN"/>
        </w:rPr>
        <w:t xml:space="preserve">  贰 </w:t>
      </w:r>
      <w:r>
        <w:rPr>
          <w:rFonts w:hint="eastAsia" w:ascii="仿宋_GB2312" w:hAnsi="仿宋_GB2312" w:eastAsia="仿宋_GB2312" w:cs="仿宋_GB2312"/>
          <w:color w:val="auto"/>
          <w:sz w:val="28"/>
          <w:szCs w:val="28"/>
          <w:highlight w:val="none"/>
          <w:lang w:val="en-US" w:eastAsia="zh-CN"/>
        </w:rPr>
        <w:t xml:space="preserve"> 份，乙方执</w:t>
      </w:r>
      <w:r>
        <w:rPr>
          <w:rFonts w:hint="eastAsia" w:ascii="仿宋_GB2312" w:hAnsi="仿宋_GB2312" w:eastAsia="仿宋_GB2312" w:cs="仿宋_GB2312"/>
          <w:color w:val="auto"/>
          <w:sz w:val="28"/>
          <w:szCs w:val="28"/>
          <w:highlight w:val="none"/>
          <w:u w:val="single"/>
          <w:lang w:val="en-US" w:eastAsia="zh-CN"/>
        </w:rPr>
        <w:t xml:space="preserve">  贰  </w:t>
      </w:r>
      <w:r>
        <w:rPr>
          <w:rFonts w:hint="eastAsia" w:ascii="仿宋_GB2312" w:hAnsi="仿宋_GB2312" w:eastAsia="仿宋_GB2312" w:cs="仿宋_GB2312"/>
          <w:color w:val="auto"/>
          <w:sz w:val="28"/>
          <w:szCs w:val="28"/>
          <w:highlight w:val="none"/>
          <w:lang w:val="en-US" w:eastAsia="zh-CN"/>
        </w:rPr>
        <w:t>份。</w:t>
      </w:r>
    </w:p>
    <w:p>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附件：1.廉政合同</w:t>
      </w:r>
    </w:p>
    <w:p>
      <w:pPr>
        <w:pStyle w:val="20"/>
        <w:keepNext w:val="0"/>
        <w:keepLines w:val="0"/>
        <w:pageBreakBefore w:val="0"/>
        <w:kinsoku/>
        <w:overflowPunct/>
        <w:autoSpaceDE/>
        <w:autoSpaceDN/>
        <w:bidi w:val="0"/>
        <w:adjustRightInd/>
        <w:snapToGrid/>
        <w:spacing w:line="560" w:lineRule="exact"/>
        <w:ind w:left="0" w:leftChars="0" w:firstLine="1400" w:firstLineChars="500"/>
        <w:jc w:val="both"/>
        <w:textAlignment w:val="auto"/>
        <w:rPr>
          <w:rFonts w:hint="default"/>
          <w:color w:val="auto"/>
          <w:highlight w:val="none"/>
          <w:lang w:val="en-US" w:eastAsia="zh-CN"/>
        </w:rPr>
      </w:pPr>
      <w:r>
        <w:rPr>
          <w:rFonts w:hint="eastAsia" w:ascii="仿宋_GB2312" w:hAnsi="仿宋_GB2312" w:eastAsia="仿宋_GB2312" w:cs="仿宋_GB2312"/>
          <w:color w:val="auto"/>
          <w:sz w:val="28"/>
          <w:szCs w:val="28"/>
          <w:highlight w:val="none"/>
          <w:lang w:val="en-US" w:eastAsia="zh-CN"/>
        </w:rPr>
        <w:t>2.安全生产合同</w:t>
      </w:r>
    </w:p>
    <w:p>
      <w:pPr>
        <w:pStyle w:val="20"/>
        <w:keepNext w:val="0"/>
        <w:keepLines w:val="0"/>
        <w:pageBreakBefore w:val="0"/>
        <w:kinsoku/>
        <w:overflowPunct/>
        <w:autoSpaceDE/>
        <w:autoSpaceDN/>
        <w:bidi w:val="0"/>
        <w:adjustRightInd/>
        <w:snapToGrid/>
        <w:spacing w:line="560" w:lineRule="exact"/>
        <w:ind w:left="0" w:leftChars="0" w:firstLine="1400" w:firstLineChars="5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3.报价清单</w:t>
      </w:r>
    </w:p>
    <w:p>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（以下无正文）</w:t>
      </w:r>
    </w:p>
    <w:p>
      <w:pPr>
        <w:pStyle w:val="8"/>
        <w:rPr>
          <w:rFonts w:hint="eastAsia"/>
          <w:highlight w:val="none"/>
          <w:lang w:val="en-US" w:eastAsia="zh-CN"/>
        </w:rPr>
      </w:pPr>
    </w:p>
    <w:p>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default"/>
          <w:color w:val="auto"/>
          <w:highlight w:val="none"/>
          <w:u w:val="none"/>
          <w:lang w:val="en-US" w:eastAsia="zh-CN"/>
        </w:rPr>
      </w:pPr>
      <w:r>
        <w:rPr>
          <w:rFonts w:hint="eastAsia" w:ascii="仿宋_GB2312" w:hAnsi="仿宋_GB2312" w:eastAsia="仿宋_GB2312" w:cs="仿宋_GB2312"/>
          <w:color w:val="auto"/>
          <w:sz w:val="28"/>
          <w:szCs w:val="28"/>
          <w:highlight w:val="none"/>
          <w:lang w:val="en-US" w:eastAsia="zh-CN"/>
        </w:rPr>
        <w:t>甲方：安徽省经工物资有限公司       乙方：</w:t>
      </w:r>
      <w:r>
        <w:rPr>
          <w:rFonts w:hint="eastAsia" w:ascii="仿宋_GB2312" w:hAnsi="仿宋_GB2312" w:eastAsia="仿宋_GB2312" w:cs="仿宋_GB2312"/>
          <w:color w:val="auto"/>
          <w:sz w:val="28"/>
          <w:szCs w:val="28"/>
          <w:highlight w:val="none"/>
          <w:u w:val="none"/>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560" w:lineRule="exact"/>
        <w:ind w:firstLine="2800" w:firstLineChars="10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（盖章）                          （盖章）</w:t>
      </w:r>
    </w:p>
    <w:p>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法定代表人或                       法定代表人或</w:t>
      </w:r>
    </w:p>
    <w:p>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授权委托人（签字）：               授权委托人（签字）：</w:t>
      </w:r>
    </w:p>
    <w:p>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纳税识别号：91340100MA2MY6GA6E     纳税识别号:</w:t>
      </w:r>
    </w:p>
    <w:p>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地址：安徽省合肥市蜀山区甘泉路     地址：</w:t>
      </w:r>
    </w:p>
    <w:p>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398号                               </w:t>
      </w:r>
    </w:p>
    <w:p>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开户银行：工行合肥蜀山支行       开户银行：</w:t>
      </w:r>
    </w:p>
    <w:p>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账号：1302012119200034038          账号：</w:t>
      </w:r>
    </w:p>
    <w:p>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年   月   日                        年   月   日</w:t>
      </w:r>
    </w:p>
    <w:p>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pacing w:val="0"/>
          <w:sz w:val="28"/>
          <w:szCs w:val="28"/>
          <w:highlight w:val="none"/>
          <w:lang w:val="en-US" w:eastAsia="zh-CN"/>
        </w:rPr>
        <w:sectPr>
          <w:headerReference r:id="rId8" w:type="first"/>
          <w:footerReference r:id="rId11" w:type="first"/>
          <w:headerReference r:id="rId6" w:type="default"/>
          <w:footerReference r:id="rId9" w:type="default"/>
          <w:headerReference r:id="rId7" w:type="even"/>
          <w:footerReference r:id="rId10"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_GB2312" w:hAnsi="仿宋_GB2312" w:eastAsia="仿宋_GB2312" w:cs="仿宋_GB2312"/>
          <w:color w:val="auto"/>
          <w:spacing w:val="0"/>
          <w:sz w:val="28"/>
          <w:szCs w:val="28"/>
          <w:highlight w:val="none"/>
          <w:lang w:val="en-US" w:eastAsia="zh-CN"/>
        </w:rPr>
        <w:t xml:space="preserve"> </w:t>
      </w:r>
      <w:r>
        <w:rPr>
          <w:rFonts w:hint="eastAsia" w:ascii="仿宋_GB2312" w:hAnsi="仿宋_GB2312" w:eastAsia="仿宋_GB2312" w:cs="仿宋_GB2312"/>
          <w:color w:val="auto"/>
          <w:spacing w:val="0"/>
          <w:sz w:val="28"/>
          <w:szCs w:val="28"/>
          <w:highlight w:val="none"/>
          <w:lang w:val="en-US" w:eastAsia="zh-CN"/>
        </w:rPr>
        <w:br w:type="page"/>
      </w:r>
    </w:p>
    <w:p>
      <w:pPr>
        <w:rPr>
          <w:rFonts w:hint="eastAsia" w:ascii="仿宋_GB2312" w:hAnsi="仿宋_GB2312" w:eastAsia="仿宋_GB2312" w:cs="仿宋_GB2312"/>
          <w:b/>
          <w:bCs/>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附件一：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
          <w:bCs/>
          <w:color w:val="auto"/>
          <w:spacing w:val="0"/>
          <w:sz w:val="44"/>
          <w:szCs w:val="44"/>
          <w:highlight w:val="none"/>
          <w:lang w:val="en-US" w:eastAsia="zh-CN"/>
        </w:rPr>
      </w:pPr>
      <w:r>
        <w:rPr>
          <w:rFonts w:hint="eastAsia" w:ascii="方正小标宋简体" w:hAnsi="方正小标宋简体" w:eastAsia="方正小标宋简体" w:cs="方正小标宋简体"/>
          <w:b/>
          <w:bCs/>
          <w:color w:val="auto"/>
          <w:spacing w:val="0"/>
          <w:sz w:val="44"/>
          <w:szCs w:val="44"/>
          <w:highlight w:val="none"/>
          <w:lang w:val="en-US" w:eastAsia="zh-CN"/>
        </w:rPr>
        <w:t>廉 政 合 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pacing w:val="0"/>
          <w:sz w:val="28"/>
          <w:szCs w:val="28"/>
          <w:highlight w:val="none"/>
          <w:lang w:val="en-US" w:eastAsia="zh-CN"/>
        </w:rPr>
        <w:t xml:space="preserve">为抓好物资设备等采购供应中的党风廉政建设，规范、约束采供双方行为，确保双方工作人员廉洁从业， </w:t>
      </w:r>
      <w:r>
        <w:rPr>
          <w:rFonts w:hint="eastAsia" w:ascii="仿宋_GB2312" w:hAnsi="仿宋_GB2312" w:eastAsia="仿宋_GB2312" w:cs="仿宋_GB2312"/>
          <w:color w:val="auto"/>
          <w:spacing w:val="0"/>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（项目名称）的采购人</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（采购人名称，以下简称甲方）与该项目的供货商</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（供货商名称，以下简称乙方），特订立如下合同。</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甲乙双方的权利和义务</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严格遵守党</w:t>
      </w:r>
      <w:r>
        <w:rPr>
          <w:rFonts w:hint="eastAsia" w:ascii="仿宋_GB2312" w:hAnsi="仿宋_GB2312" w:eastAsia="仿宋_GB2312" w:cs="仿宋_GB2312"/>
          <w:color w:val="auto"/>
          <w:sz w:val="28"/>
          <w:szCs w:val="28"/>
          <w:highlight w:val="none"/>
          <w:lang w:val="en-US" w:eastAsia="zh-CN"/>
        </w:rPr>
        <w:t>的政策</w:t>
      </w:r>
      <w:r>
        <w:rPr>
          <w:rFonts w:hint="eastAsia" w:ascii="仿宋_GB2312" w:hAnsi="仿宋_GB2312" w:eastAsia="仿宋_GB2312" w:cs="仿宋_GB2312"/>
          <w:color w:val="auto"/>
          <w:sz w:val="28"/>
          <w:szCs w:val="28"/>
          <w:highlight w:val="none"/>
        </w:rPr>
        <w:t>和国家有关法律</w:t>
      </w:r>
      <w:r>
        <w:rPr>
          <w:rFonts w:hint="eastAsia" w:ascii="仿宋_GB2312" w:hAnsi="仿宋_GB2312" w:eastAsia="仿宋_GB2312" w:cs="仿宋_GB2312"/>
          <w:color w:val="auto"/>
          <w:sz w:val="28"/>
          <w:szCs w:val="28"/>
          <w:highlight w:val="none"/>
          <w:lang w:val="en-US" w:eastAsia="zh-CN"/>
        </w:rPr>
        <w:t>法规的</w:t>
      </w:r>
      <w:r>
        <w:rPr>
          <w:rFonts w:hint="eastAsia" w:ascii="仿宋_GB2312" w:hAnsi="仿宋_GB2312" w:eastAsia="仿宋_GB2312" w:cs="仿宋_GB2312"/>
          <w:color w:val="auto"/>
          <w:sz w:val="28"/>
          <w:szCs w:val="28"/>
          <w:highlight w:val="none"/>
        </w:rPr>
        <w:t>有关规定。</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严格执行</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none"/>
          <w:lang w:eastAsia="zh-CN"/>
        </w:rPr>
        <w:t>（</w:t>
      </w:r>
      <w:r>
        <w:rPr>
          <w:rFonts w:hint="eastAsia" w:ascii="仿宋_GB2312" w:hAnsi="仿宋_GB2312" w:eastAsia="仿宋_GB2312" w:cs="仿宋_GB2312"/>
          <w:color w:val="auto"/>
          <w:sz w:val="28"/>
          <w:szCs w:val="28"/>
          <w:highlight w:val="none"/>
          <w:u w:val="none"/>
        </w:rPr>
        <w:t>合同文件</w:t>
      </w:r>
      <w:r>
        <w:rPr>
          <w:rFonts w:hint="eastAsia" w:ascii="仿宋_GB2312" w:hAnsi="仿宋_GB2312" w:eastAsia="仿宋_GB2312" w:cs="仿宋_GB2312"/>
          <w:color w:val="auto"/>
          <w:sz w:val="28"/>
          <w:szCs w:val="28"/>
          <w:highlight w:val="none"/>
          <w:u w:val="none"/>
          <w:lang w:val="en-US" w:eastAsia="zh-CN"/>
        </w:rPr>
        <w:t>名称</w:t>
      </w:r>
      <w:r>
        <w:rPr>
          <w:rFonts w:hint="eastAsia" w:ascii="仿宋_GB2312" w:hAnsi="仿宋_GB2312" w:eastAsia="仿宋_GB2312" w:cs="仿宋_GB2312"/>
          <w:color w:val="auto"/>
          <w:sz w:val="28"/>
          <w:szCs w:val="28"/>
          <w:highlight w:val="none"/>
          <w:u w:val="none"/>
          <w:lang w:eastAsia="zh-CN"/>
        </w:rPr>
        <w:t>）</w:t>
      </w:r>
      <w:r>
        <w:rPr>
          <w:rFonts w:hint="eastAsia" w:ascii="仿宋_GB2312" w:hAnsi="仿宋_GB2312" w:eastAsia="仿宋_GB2312" w:cs="仿宋_GB2312"/>
          <w:color w:val="auto"/>
          <w:sz w:val="28"/>
          <w:szCs w:val="28"/>
          <w:highlight w:val="none"/>
          <w:u w:val="none"/>
          <w:lang w:val="en-US" w:eastAsia="zh-CN"/>
        </w:rPr>
        <w:t>合同文件</w:t>
      </w:r>
      <w:r>
        <w:rPr>
          <w:rFonts w:hint="eastAsia" w:ascii="仿宋_GB2312" w:hAnsi="仿宋_GB2312" w:eastAsia="仿宋_GB2312" w:cs="仿宋_GB2312"/>
          <w:color w:val="auto"/>
          <w:sz w:val="28"/>
          <w:szCs w:val="28"/>
          <w:highlight w:val="none"/>
          <w:u w:val="none"/>
        </w:rPr>
        <w:t>，</w:t>
      </w:r>
      <w:r>
        <w:rPr>
          <w:rFonts w:hint="eastAsia" w:ascii="仿宋_GB2312" w:hAnsi="仿宋_GB2312" w:eastAsia="仿宋_GB2312" w:cs="仿宋_GB2312"/>
          <w:color w:val="auto"/>
          <w:sz w:val="28"/>
          <w:szCs w:val="28"/>
          <w:highlight w:val="none"/>
        </w:rPr>
        <w:t>自觉按合同办事。</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双方的业务活动坚持公开、公正、诚信、透明的原则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法律认定的商业秘密和合同文件另有规定除外</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，不得损害国家和集体利益。</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建立健全廉政制度，开展廉政教育和廉洁文化建设</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公布举报电话，监督并认真查处</w:t>
      </w:r>
      <w:r>
        <w:rPr>
          <w:rFonts w:hint="eastAsia" w:ascii="仿宋_GB2312" w:hAnsi="仿宋_GB2312" w:eastAsia="仿宋_GB2312" w:cs="仿宋_GB2312"/>
          <w:color w:val="auto"/>
          <w:sz w:val="28"/>
          <w:szCs w:val="28"/>
          <w:highlight w:val="none"/>
          <w:lang w:val="en-US" w:eastAsia="zh-CN"/>
        </w:rPr>
        <w:t>违规</w:t>
      </w:r>
      <w:r>
        <w:rPr>
          <w:rFonts w:hint="eastAsia" w:ascii="仿宋_GB2312" w:hAnsi="仿宋_GB2312" w:eastAsia="仿宋_GB2312" w:cs="仿宋_GB2312"/>
          <w:color w:val="auto"/>
          <w:sz w:val="28"/>
          <w:szCs w:val="28"/>
          <w:highlight w:val="none"/>
        </w:rPr>
        <w:t>违纪违法行为。</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发现对方在业务活动中有违反廉政规定的行为，有及时提醒对方纠正的权利和义务。</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发现对方严重违反本合同义务条款的行为，有向有关部门举报、建议给予处理并要求告知处理结果的权利。</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2.甲方的义务</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（1）甲方及其工作人员不得利用职务之便索要或接受乙方的礼品、礼金、消费卡和有价证券、股权、其他金融产品等财物。</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（2）甲方及其工作人员不得在利用职务之便为乙方谋取利益之前或之后，约定在其离职后收受乙方财物，并在离职后收受。</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（3）甲方及其工作人员不得在乙方报销应由甲方或个人支付的费用等。</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lang w:val="en-US" w:eastAsia="zh-CN"/>
        </w:rPr>
        <w:t>（4）甲方及其工作人员不得要求或者接受乙方可能影响公正执行公务的宴请以及旅游、健身、娱乐等活动安排，</w:t>
      </w:r>
      <w:r>
        <w:rPr>
          <w:rFonts w:hint="eastAsia" w:ascii="仿宋_GB2312" w:hAnsi="仿宋_GB2312" w:eastAsia="仿宋_GB2312" w:cs="仿宋_GB2312"/>
          <w:color w:val="auto"/>
          <w:sz w:val="28"/>
          <w:szCs w:val="28"/>
          <w:highlight w:val="none"/>
          <w:u w:val="none"/>
          <w:lang w:val="en-US" w:eastAsia="zh-CN"/>
        </w:rPr>
        <w:t>不得要求和接受乙方提供的交通工具、通讯工具、高档办公用品等。</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甲方及其工作人员不得要求或者接受乙方为其住房装修、婚丧嫁娶、特定关系人的工作安排以及出国、旅游提供方便等；不得要求乙方及其工作人员为自己的特定关系人以安排工作为名，使其不实际工作却获取薪酬。</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（6）甲方及其工作人员不得要求乙方购买合同规定外的材料和设备。    </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（7）甲方及其工作人员不得有其他可能影响廉洁从业的行为。</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3.乙方的义务</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（1）乙方及其工作人员不得以任何形式向甲方及其工作人员行贿或馈赠礼品、礼金、消费卡和有价证券、股权、其他金融产品等财物，以及回扣、好处费、感谢费等。</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乙方及其工作人员不得与甲方及其工作人员约定，甲方及其工作人员</w:t>
      </w:r>
      <w:r>
        <w:rPr>
          <w:rFonts w:hint="eastAsia" w:ascii="仿宋_GB2312" w:hAnsi="仿宋_GB2312" w:eastAsia="仿宋_GB2312" w:cs="仿宋_GB2312"/>
          <w:color w:val="auto"/>
          <w:sz w:val="28"/>
          <w:szCs w:val="28"/>
          <w:highlight w:val="none"/>
          <w:lang w:eastAsia="zh-CN"/>
        </w:rPr>
        <w:t>利用职务之便为乙方谋取利益，</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lang w:eastAsia="zh-CN"/>
        </w:rPr>
        <w:t>在其离职后</w:t>
      </w:r>
      <w:r>
        <w:rPr>
          <w:rFonts w:hint="eastAsia" w:ascii="仿宋_GB2312" w:hAnsi="仿宋_GB2312" w:eastAsia="仿宋_GB2312" w:cs="仿宋_GB2312"/>
          <w:color w:val="auto"/>
          <w:sz w:val="28"/>
          <w:szCs w:val="28"/>
          <w:highlight w:val="none"/>
          <w:lang w:val="en-US" w:eastAsia="zh-CN"/>
        </w:rPr>
        <w:t>给予</w:t>
      </w:r>
      <w:r>
        <w:rPr>
          <w:rFonts w:hint="eastAsia" w:ascii="仿宋_GB2312" w:hAnsi="仿宋_GB2312" w:eastAsia="仿宋_GB2312" w:cs="仿宋_GB2312"/>
          <w:color w:val="auto"/>
          <w:sz w:val="28"/>
          <w:szCs w:val="28"/>
          <w:highlight w:val="none"/>
          <w:lang w:eastAsia="zh-CN"/>
        </w:rPr>
        <w:t>财物。</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（3）乙方不得以任何名义为甲方及其工作人员报销由甲方单位或个人支付的任何费用。</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lang w:val="en-US" w:eastAsia="zh-CN"/>
        </w:rPr>
        <w:t>（4）乙方及其工作人员不得以任何理由邀请甲方工作人员参与可能影响公正执行公务的宴请以及旅游、健身、娱乐等活动。</w:t>
      </w:r>
      <w:r>
        <w:rPr>
          <w:rFonts w:hint="eastAsia" w:ascii="仿宋_GB2312" w:hAnsi="仿宋_GB2312" w:eastAsia="仿宋_GB2312" w:cs="仿宋_GB2312"/>
          <w:color w:val="auto"/>
          <w:sz w:val="28"/>
          <w:szCs w:val="28"/>
          <w:highlight w:val="none"/>
          <w:u w:val="none"/>
          <w:lang w:val="en-US" w:eastAsia="zh-CN"/>
        </w:rPr>
        <w:t>不得为甲方单位和个人购置或提供通讯工具、交通工具和高档办公用品等。</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（5）乙方及其工作人员不得为甲方工作人员住房装修、婚丧嫁娶、出国出境、旅游等提供方便；不得为甲方工作人员的特定关系人以安排工作为名，使其不实际工作却获取薪酬。</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（6）甲方及其工作人员不得有其他可能影响廉洁从业的行为。</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4.违约责任</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（1）甲方及其工作人员违反本合同第1、2条，按管理权限，依据有关规定给予党纪政务处分和组织处理；涉嫌犯罪的，移交司法机关追究刑事责任；给乙方单位造成经济损失的，应予以赔偿。</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（2）乙方及其工作人员违反本合同第1、3条，按管理权限，依据有关规定，给予相关处理；给甲方单位造成经济损失的，应予以赔偿。</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5.本合同有效期为甲乙双方签署之日起至该供货合同履行完毕后止。</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6.本合同作为</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（合同文件名称）的附件，与采购合同具有同等的法律效力，经合同双方签署立即生效。</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lang w:bidi="ar"/>
        </w:rPr>
      </w:pPr>
      <w:r>
        <w:rPr>
          <w:rFonts w:hint="eastAsia" w:ascii="仿宋_GB2312" w:hAnsi="仿宋_GB2312" w:eastAsia="仿宋_GB2312" w:cs="仿宋_GB2312"/>
          <w:color w:val="auto"/>
          <w:sz w:val="28"/>
          <w:szCs w:val="28"/>
          <w:highlight w:val="none"/>
          <w:lang w:val="en-US" w:eastAsia="zh-CN"/>
        </w:rPr>
        <w:t>7.本合同一式</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份，甲方执</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份，乙方执</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份。</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甲方（盖章） ：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盖章</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w:t>
      </w:r>
      <w:r>
        <w:rPr>
          <w:rFonts w:hint="eastAsia" w:ascii="仿宋_GB2312" w:hAnsi="仿宋_GB2312" w:eastAsia="仿宋_GB2312" w:cs="仿宋_GB2312"/>
          <w:color w:val="auto"/>
          <w:sz w:val="28"/>
          <w:szCs w:val="28"/>
          <w:highlight w:val="none"/>
          <w:lang w:val="en-US" w:eastAsia="zh-CN"/>
        </w:rPr>
        <w:t>或</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法定代表或</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firstLine="1120" w:firstLineChars="4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年   月   日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年   月   日</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rPr>
      </w:pPr>
    </w:p>
    <w:p>
      <w:pPr>
        <w:pStyle w:val="7"/>
        <w:keepNext w:val="0"/>
        <w:keepLines w:val="0"/>
        <w:pageBreakBefore w:val="0"/>
        <w:widowControl w:val="0"/>
        <w:kinsoku/>
        <w:wordWrap/>
        <w:overflowPunct/>
        <w:topLinePunct w:val="0"/>
        <w:autoSpaceDE/>
        <w:autoSpaceDN/>
        <w:bidi w:val="0"/>
        <w:adjustRightInd/>
        <w:snapToGrid/>
        <w:spacing w:line="54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甲方监督单位：（盖章）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乙方监督单位：（盖章）</w:t>
      </w:r>
    </w:p>
    <w:p>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b/>
          <w:color w:val="auto"/>
          <w:sz w:val="28"/>
          <w:szCs w:val="28"/>
          <w:highlight w:val="none"/>
        </w:rPr>
      </w:pPr>
    </w:p>
    <w:p>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附件二：</w:t>
      </w: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
          <w:color w:val="auto"/>
          <w:sz w:val="44"/>
          <w:szCs w:val="44"/>
          <w:highlight w:val="none"/>
        </w:rPr>
      </w:pPr>
      <w:r>
        <w:rPr>
          <w:rFonts w:hint="eastAsia" w:ascii="方正小标宋简体" w:hAnsi="方正小标宋简体" w:eastAsia="方正小标宋简体" w:cs="方正小标宋简体"/>
          <w:b/>
          <w:color w:val="auto"/>
          <w:sz w:val="44"/>
          <w:szCs w:val="44"/>
          <w:highlight w:val="none"/>
        </w:rPr>
        <w:t>安全生产合同</w:t>
      </w:r>
    </w:p>
    <w:p>
      <w:pPr>
        <w:pStyle w:val="7"/>
        <w:keepNext w:val="0"/>
        <w:keepLines w:val="0"/>
        <w:pageBreakBefore w:val="0"/>
        <w:kinsoku/>
        <w:overflowPunct/>
        <w:autoSpaceDE/>
        <w:autoSpaceDN/>
        <w:bidi w:val="0"/>
        <w:adjustRightInd/>
        <w:snapToGrid/>
        <w:spacing w:line="560" w:lineRule="exact"/>
        <w:ind w:firstLine="420" w:firstLineChars="200"/>
        <w:jc w:val="both"/>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为在</w:t>
      </w:r>
      <w:r>
        <w:rPr>
          <w:rFonts w:hint="eastAsia" w:ascii="仿宋_GB2312" w:hAnsi="仿宋_GB2312" w:eastAsia="仿宋_GB2312" w:cs="仿宋_GB2312"/>
          <w:color w:val="auto"/>
          <w:spacing w:val="0"/>
          <w:sz w:val="28"/>
          <w:szCs w:val="28"/>
          <w:highlight w:val="none"/>
          <w:lang w:val="en-US" w:eastAsia="zh-CN"/>
        </w:rPr>
        <w:t xml:space="preserve"> </w:t>
      </w:r>
      <w:r>
        <w:rPr>
          <w:rFonts w:hint="eastAsia" w:ascii="仿宋_GB2312" w:hAnsi="仿宋_GB2312" w:eastAsia="仿宋_GB2312" w:cs="仿宋_GB2312"/>
          <w:color w:val="auto"/>
          <w:spacing w:val="0"/>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（项目名称）</w:t>
      </w:r>
      <w:r>
        <w:rPr>
          <w:rFonts w:hint="eastAsia" w:ascii="仿宋_GB2312" w:hAnsi="仿宋_GB2312" w:eastAsia="仿宋_GB2312" w:cs="仿宋_GB2312"/>
          <w:color w:val="auto"/>
          <w:sz w:val="28"/>
          <w:szCs w:val="28"/>
          <w:highlight w:val="none"/>
        </w:rPr>
        <w:t>的实施过程中创造安全、高效的施工环境，切实搞好本项目的安全管理工作，本项目</w:t>
      </w:r>
      <w:r>
        <w:rPr>
          <w:rFonts w:hint="eastAsia" w:ascii="仿宋_GB2312" w:hAnsi="仿宋_GB2312" w:eastAsia="仿宋_GB2312" w:cs="仿宋_GB2312"/>
          <w:color w:val="auto"/>
          <w:sz w:val="28"/>
          <w:szCs w:val="28"/>
          <w:highlight w:val="none"/>
          <w:lang w:val="en-US" w:eastAsia="zh-CN"/>
        </w:rPr>
        <w:t xml:space="preserve">采购人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（采购人名称，以下简称甲方）与该项目的供货商</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（供货商名称，以下简称乙方）</w:t>
      </w:r>
      <w:r>
        <w:rPr>
          <w:rFonts w:hint="eastAsia" w:ascii="仿宋_GB2312" w:hAnsi="仿宋_GB2312" w:eastAsia="仿宋_GB2312" w:cs="仿宋_GB2312"/>
          <w:color w:val="auto"/>
          <w:sz w:val="28"/>
          <w:szCs w:val="28"/>
          <w:highlight w:val="none"/>
        </w:rPr>
        <w:t>特此签订</w:t>
      </w:r>
      <w:r>
        <w:rPr>
          <w:rFonts w:hint="eastAsia" w:ascii="仿宋_GB2312" w:hAnsi="仿宋_GB2312" w:eastAsia="仿宋_GB2312" w:cs="仿宋_GB2312"/>
          <w:color w:val="auto"/>
          <w:sz w:val="28"/>
          <w:szCs w:val="28"/>
          <w:highlight w:val="none"/>
          <w:lang w:val="en-US" w:eastAsia="zh-CN"/>
        </w:rPr>
        <w:t>此</w:t>
      </w:r>
      <w:r>
        <w:rPr>
          <w:rFonts w:hint="eastAsia" w:ascii="仿宋_GB2312" w:hAnsi="仿宋_GB2312" w:eastAsia="仿宋_GB2312" w:cs="仿宋_GB2312"/>
          <w:color w:val="auto"/>
          <w:sz w:val="28"/>
          <w:szCs w:val="28"/>
          <w:highlight w:val="none"/>
        </w:rPr>
        <w:t>安全生产合同：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为强化企业安全生产主体责任，加强道路运输安全管理</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防止和减少安全事故，保障人民群众生命和财产安全，有效促进双方全面履行经营合同，维护双方的合法权益，依据《</w:t>
      </w:r>
      <w:r>
        <w:rPr>
          <w:rFonts w:hint="eastAsia" w:ascii="仿宋_GB2312" w:hAnsi="仿宋_GB2312" w:eastAsia="仿宋_GB2312" w:cs="仿宋_GB2312"/>
          <w:color w:val="auto"/>
          <w:sz w:val="28"/>
          <w:szCs w:val="28"/>
          <w:highlight w:val="none"/>
          <w:lang w:val="en-US" w:eastAsia="zh-CN"/>
        </w:rPr>
        <w:t>中华人民共和国民法典</w:t>
      </w:r>
      <w:r>
        <w:rPr>
          <w:rFonts w:hint="eastAsia" w:ascii="仿宋_GB2312" w:hAnsi="仿宋_GB2312" w:eastAsia="仿宋_GB2312" w:cs="仿宋_GB2312"/>
          <w:color w:val="auto"/>
          <w:sz w:val="28"/>
          <w:szCs w:val="28"/>
          <w:highlight w:val="none"/>
        </w:rPr>
        <w:t>》、《中华人民共和道路交通安全法》、《公路安全保护条例》、《中华人民共和国公路法》、《超限运输车辆行驶公路管理规定》及其他相关安全法律、行政法规和规章，在平等、自愿、公平和诚实信用的原则下，双方就材料供应、运输安全事项协商一致，双方达成如下协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一、本协议履行期限与双方签订的材料供应合同履行期限相同，属材料供应合同的附件之一，具有与材料供应合同同等的法律效力。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二、甲方负责提供材料堆放场地，乙方负责供应及运输。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三、在甲方运输区域，乙方运输车辆必须服从甲方的统一管理、调度和指挥，严格遵守交通规则，保证道路的畅通和运输安全，不得乱停、乱靠、乱装、乱卸，不得争道抢行，不得超速超载。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四、乙方对提供的运输车辆应当已取得国家道路运输的许可证，并确保车辆性能符合安全技术标准、防止带病上路运行，已依照国家法律政策规定购齐有关车辆保险。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、乙方应当设立安全管理人员，配备有专业知识、技能的人员并明确责任，建立、健全安全规章制度，为其雇佣的从业人员提供安全法规知识、安全规章制度、安全操作规程和安全操作技能教育和培训。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六、乙方应确保货物在卸载过程中，装卸工有安全防护措施，发现不安全因素，及时外理。在甲方区域，禁止出现无证操作、无证驾驶现象。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七、</w:t>
      </w:r>
      <w:r>
        <w:rPr>
          <w:rFonts w:hint="eastAsia" w:ascii="仿宋_GB2312" w:hAnsi="仿宋_GB2312" w:eastAsia="仿宋_GB2312" w:cs="仿宋_GB2312"/>
          <w:color w:val="auto"/>
          <w:sz w:val="28"/>
          <w:szCs w:val="28"/>
          <w:highlight w:val="none"/>
        </w:rPr>
        <w:t>乙方必须按照本工程项目特点，组织制定本工程实施中的生产安全事故应急救援预案；如果发生安全事故，应按照《国务院关于特大安全事故行政责任追究的规定》以及其他有关规定，及时上报有关部门，并坚持“四不放过”的原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严肃处理相关责任人。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八</w:t>
      </w:r>
      <w:r>
        <w:rPr>
          <w:rFonts w:hint="eastAsia" w:ascii="仿宋_GB2312" w:hAnsi="仿宋_GB2312" w:eastAsia="仿宋_GB2312" w:cs="仿宋_GB2312"/>
          <w:color w:val="auto"/>
          <w:sz w:val="28"/>
          <w:szCs w:val="28"/>
          <w:highlight w:val="none"/>
        </w:rPr>
        <w:t>、乙方在履行合同过程中，必须确保</w:t>
      </w:r>
      <w:r>
        <w:rPr>
          <w:rFonts w:hint="eastAsia" w:ascii="仿宋_GB2312" w:hAnsi="仿宋_GB2312" w:eastAsia="仿宋_GB2312" w:cs="仿宋_GB2312"/>
          <w:color w:val="auto"/>
          <w:sz w:val="28"/>
          <w:szCs w:val="28"/>
          <w:highlight w:val="none"/>
          <w:lang w:val="en-US" w:eastAsia="zh-CN"/>
        </w:rPr>
        <w:t>货物</w:t>
      </w:r>
      <w:r>
        <w:rPr>
          <w:rFonts w:hint="eastAsia" w:ascii="仿宋_GB2312" w:hAnsi="仿宋_GB2312" w:eastAsia="仿宋_GB2312" w:cs="仿宋_GB2312"/>
          <w:color w:val="auto"/>
          <w:sz w:val="28"/>
          <w:szCs w:val="28"/>
          <w:highlight w:val="none"/>
        </w:rPr>
        <w:t>运输</w:t>
      </w:r>
      <w:r>
        <w:rPr>
          <w:rFonts w:hint="eastAsia" w:ascii="仿宋_GB2312" w:hAnsi="仿宋_GB2312" w:eastAsia="仿宋_GB2312" w:cs="仿宋_GB2312"/>
          <w:color w:val="auto"/>
          <w:sz w:val="28"/>
          <w:szCs w:val="28"/>
          <w:highlight w:val="none"/>
          <w:lang w:val="en-US" w:eastAsia="zh-CN"/>
        </w:rPr>
        <w:t>及供应</w:t>
      </w:r>
      <w:r>
        <w:rPr>
          <w:rFonts w:hint="eastAsia" w:ascii="仿宋_GB2312" w:hAnsi="仿宋_GB2312" w:eastAsia="仿宋_GB2312" w:cs="仿宋_GB2312"/>
          <w:color w:val="auto"/>
          <w:sz w:val="28"/>
          <w:szCs w:val="28"/>
          <w:highlight w:val="none"/>
        </w:rPr>
        <w:t>安全，如发生各类人身、财产事故，造成的一切损失均由乙方负责承担，甲方概不负责。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九</w:t>
      </w:r>
      <w:r>
        <w:rPr>
          <w:rFonts w:hint="eastAsia" w:ascii="仿宋_GB2312" w:hAnsi="仿宋_GB2312" w:eastAsia="仿宋_GB2312" w:cs="仿宋_GB2312"/>
          <w:color w:val="auto"/>
          <w:sz w:val="28"/>
          <w:szCs w:val="28"/>
          <w:highlight w:val="none"/>
        </w:rPr>
        <w:t xml:space="preserve">、争议的解决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rPr>
        <w:t>在履行中如发生争议，双方应及时协商解决。协商不成的，任何一方均有权将</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rPr>
        <w:t>争议事项向甲方公司注册所在地人民法院提起诉讼，通过法定程序解决。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十</w:t>
      </w:r>
      <w:r>
        <w:rPr>
          <w:rFonts w:hint="eastAsia" w:ascii="仿宋_GB2312" w:hAnsi="仿宋_GB2312" w:eastAsia="仿宋_GB2312" w:cs="仿宋_GB2312"/>
          <w:color w:val="auto"/>
          <w:sz w:val="28"/>
          <w:szCs w:val="28"/>
          <w:highlight w:val="none"/>
        </w:rPr>
        <w:t>、本协议</w:t>
      </w:r>
      <w:r>
        <w:rPr>
          <w:rFonts w:hint="eastAsia" w:ascii="仿宋_GB2312" w:hAnsi="仿宋_GB2312" w:eastAsia="仿宋_GB2312" w:cs="仿宋_GB2312"/>
          <w:color w:val="auto"/>
          <w:sz w:val="28"/>
          <w:szCs w:val="28"/>
          <w:highlight w:val="none"/>
          <w:lang w:val="en-US" w:eastAsia="zh-CN"/>
        </w:rPr>
        <w:t>壹</w:t>
      </w:r>
      <w:r>
        <w:rPr>
          <w:rFonts w:hint="eastAsia" w:ascii="仿宋_GB2312" w:hAnsi="仿宋_GB2312" w:eastAsia="仿宋_GB2312" w:cs="仿宋_GB2312"/>
          <w:color w:val="auto"/>
          <w:sz w:val="28"/>
          <w:szCs w:val="28"/>
          <w:highlight w:val="none"/>
        </w:rPr>
        <w:t>式</w:t>
      </w:r>
      <w:r>
        <w:rPr>
          <w:rFonts w:hint="eastAsia" w:ascii="仿宋_GB2312" w:hAnsi="仿宋_GB2312" w:eastAsia="仿宋_GB2312" w:cs="仿宋_GB2312"/>
          <w:color w:val="auto"/>
          <w:sz w:val="28"/>
          <w:szCs w:val="28"/>
          <w:highlight w:val="none"/>
          <w:u w:val="single"/>
          <w:lang w:val="en-US" w:eastAsia="zh-CN"/>
        </w:rPr>
        <w:t xml:space="preserve"> 肆  </w:t>
      </w:r>
      <w:r>
        <w:rPr>
          <w:rFonts w:hint="eastAsia" w:ascii="仿宋_GB2312" w:hAnsi="仿宋_GB2312" w:eastAsia="仿宋_GB2312" w:cs="仿宋_GB2312"/>
          <w:color w:val="auto"/>
          <w:sz w:val="28"/>
          <w:szCs w:val="28"/>
          <w:highlight w:val="none"/>
        </w:rPr>
        <w:t>份，甲</w:t>
      </w:r>
      <w:r>
        <w:rPr>
          <w:rFonts w:hint="eastAsia" w:ascii="仿宋_GB2312" w:hAnsi="仿宋_GB2312" w:eastAsia="仿宋_GB2312" w:cs="仿宋_GB2312"/>
          <w:color w:val="auto"/>
          <w:sz w:val="28"/>
          <w:szCs w:val="28"/>
          <w:highlight w:val="none"/>
          <w:lang w:val="en-US" w:eastAsia="zh-CN"/>
        </w:rPr>
        <w:t xml:space="preserve">方执 </w:t>
      </w:r>
      <w:r>
        <w:rPr>
          <w:rFonts w:hint="eastAsia" w:ascii="仿宋_GB2312" w:hAnsi="仿宋_GB2312" w:eastAsia="仿宋_GB2312" w:cs="仿宋_GB2312"/>
          <w:color w:val="auto"/>
          <w:sz w:val="28"/>
          <w:szCs w:val="28"/>
          <w:highlight w:val="none"/>
          <w:u w:val="single"/>
          <w:lang w:val="en-US" w:eastAsia="zh-CN"/>
        </w:rPr>
        <w:t xml:space="preserve"> 贰  </w:t>
      </w:r>
      <w:r>
        <w:rPr>
          <w:rFonts w:hint="eastAsia" w:ascii="仿宋_GB2312" w:hAnsi="仿宋_GB2312" w:eastAsia="仿宋_GB2312" w:cs="仿宋_GB2312"/>
          <w:color w:val="auto"/>
          <w:sz w:val="28"/>
          <w:szCs w:val="28"/>
          <w:highlight w:val="none"/>
          <w:lang w:val="en-US" w:eastAsia="zh-CN"/>
        </w:rPr>
        <w:t>份，</w:t>
      </w:r>
      <w:r>
        <w:rPr>
          <w:rFonts w:hint="eastAsia" w:ascii="仿宋_GB2312" w:hAnsi="仿宋_GB2312" w:eastAsia="仿宋_GB2312" w:cs="仿宋_GB2312"/>
          <w:color w:val="auto"/>
          <w:sz w:val="28"/>
          <w:szCs w:val="28"/>
          <w:highlight w:val="none"/>
        </w:rPr>
        <w:t>乙方执</w:t>
      </w:r>
      <w:r>
        <w:rPr>
          <w:rFonts w:hint="eastAsia" w:ascii="仿宋_GB2312" w:hAnsi="仿宋_GB2312" w:eastAsia="仿宋_GB2312" w:cs="仿宋_GB2312"/>
          <w:color w:val="auto"/>
          <w:sz w:val="28"/>
          <w:szCs w:val="28"/>
          <w:highlight w:val="none"/>
          <w:u w:val="single"/>
          <w:lang w:val="en-US" w:eastAsia="zh-CN"/>
        </w:rPr>
        <w:t xml:space="preserve">  贰  </w:t>
      </w:r>
      <w:r>
        <w:rPr>
          <w:rFonts w:hint="eastAsia" w:ascii="仿宋_GB2312" w:hAnsi="仿宋_GB2312" w:eastAsia="仿宋_GB2312" w:cs="仿宋_GB2312"/>
          <w:color w:val="auto"/>
          <w:sz w:val="28"/>
          <w:szCs w:val="28"/>
          <w:highlight w:val="none"/>
        </w:rPr>
        <w:t>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甲方（盖章）：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乙方（盖章）：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法定代表人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法定代表人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或授权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或授权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1120" w:firstLineChars="4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年   月   日                    年   月   日</w:t>
      </w:r>
    </w:p>
    <w:p>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附件</w:t>
      </w:r>
      <w:r>
        <w:rPr>
          <w:rFonts w:hint="eastAsia" w:ascii="仿宋_GB2312" w:hAnsi="仿宋_GB2312" w:eastAsia="仿宋_GB2312" w:cs="仿宋_GB2312"/>
          <w:b/>
          <w:color w:val="auto"/>
          <w:sz w:val="28"/>
          <w:szCs w:val="28"/>
          <w:highlight w:val="none"/>
          <w:lang w:val="en-US" w:eastAsia="zh-CN"/>
        </w:rPr>
        <w:t>三</w:t>
      </w:r>
      <w:r>
        <w:rPr>
          <w:rFonts w:hint="eastAsia" w:ascii="仿宋_GB2312" w:hAnsi="仿宋_GB2312" w:eastAsia="仿宋_GB2312" w:cs="仿宋_GB2312"/>
          <w:b/>
          <w:color w:val="auto"/>
          <w:sz w:val="28"/>
          <w:szCs w:val="28"/>
          <w:highlight w:val="none"/>
        </w:rPr>
        <w:t>：</w:t>
      </w:r>
    </w:p>
    <w:p>
      <w:pPr>
        <w:pStyle w:val="20"/>
        <w:keepNext w:val="0"/>
        <w:keepLines w:val="0"/>
        <w:pageBreakBefore w:val="0"/>
        <w:kinsoku/>
        <w:wordWrap/>
        <w:overflowPunct/>
        <w:topLinePunct w:val="0"/>
        <w:autoSpaceDE/>
        <w:autoSpaceDN/>
        <w:bidi w:val="0"/>
        <w:adjustRightInd/>
        <w:snapToGrid/>
        <w:spacing w:line="560" w:lineRule="exact"/>
        <w:ind w:left="0" w:firstLine="880" w:firstLineChars="200"/>
        <w:jc w:val="center"/>
        <w:rPr>
          <w:rFonts w:ascii="Times New Roman" w:hAnsi="Times New Roman" w:eastAsia="宋体" w:cs="Times New Roman"/>
          <w:highlight w:val="none"/>
        </w:rPr>
        <w:sectPr>
          <w:headerReference r:id="rId12" w:type="default"/>
          <w:footerReference r:id="rId13" w:type="default"/>
          <w:footnotePr>
            <w:numFmt w:val="decimalEnclosedCircleChinese"/>
          </w:footnotePr>
          <w:pgSz w:w="11906" w:h="16838"/>
          <w:pgMar w:top="1440" w:right="1797" w:bottom="1440" w:left="1797" w:header="851" w:footer="992" w:gutter="0"/>
          <w:pgNumType w:fmt="decimal"/>
          <w:cols w:space="720" w:num="1"/>
          <w:docGrid w:type="linesAndChars" w:linePitch="312" w:charSpace="0"/>
        </w:sectPr>
      </w:pPr>
      <w:r>
        <w:rPr>
          <w:rFonts w:hint="eastAsia" w:ascii="方正小标宋简体" w:hAnsi="方正小标宋简体" w:eastAsia="方正小标宋简体" w:cs="方正小标宋简体"/>
          <w:b/>
          <w:color w:val="auto"/>
          <w:sz w:val="44"/>
          <w:szCs w:val="44"/>
          <w:highlight w:val="none"/>
          <w:lang w:val="en-US" w:eastAsia="zh-CN"/>
        </w:rPr>
        <w:t>报价清单</w:t>
      </w:r>
      <w:bookmarkEnd w:id="62"/>
    </w:p>
    <w:p>
      <w:pPr>
        <w:pStyle w:val="3"/>
        <w:numPr>
          <w:ilvl w:val="255"/>
          <w:numId w:val="0"/>
        </w:numPr>
        <w:spacing w:before="312" w:after="312"/>
        <w:ind w:left="402"/>
        <w:jc w:val="center"/>
        <w:rPr>
          <w:rFonts w:hint="eastAsia" w:ascii="Times New Roman" w:hAnsi="Times New Roman" w:eastAsia="宋体" w:cs="Times New Roman"/>
          <w:highlight w:val="none"/>
          <w:lang w:val="en-US" w:eastAsia="zh-CN"/>
        </w:rPr>
      </w:pPr>
      <w:bookmarkStart w:id="63" w:name="_Toc25756"/>
      <w:r>
        <w:rPr>
          <w:rFonts w:hint="eastAsia" w:ascii="Times New Roman" w:hAnsi="Times New Roman" w:eastAsia="宋体" w:cs="Times New Roman"/>
          <w:highlight w:val="none"/>
          <w:lang w:val="en-US" w:eastAsia="zh-CN"/>
        </w:rPr>
        <w:t xml:space="preserve">第五章 </w:t>
      </w:r>
      <w:r>
        <w:rPr>
          <w:rFonts w:hint="eastAsia" w:ascii="Times New Roman" w:hAnsi="Times New Roman" w:eastAsia="宋体" w:cs="Times New Roman"/>
          <w:highlight w:val="none"/>
          <w:lang w:eastAsia="zh-CN"/>
        </w:rPr>
        <w:t>工程量清单</w:t>
      </w:r>
      <w:bookmarkEnd w:id="63"/>
      <w:r>
        <w:rPr>
          <w:rFonts w:hint="eastAsia" w:ascii="Times New Roman" w:hAnsi="Times New Roman" w:eastAsia="宋体" w:cs="Times New Roman"/>
          <w:highlight w:val="none"/>
          <w:lang w:val="en-US" w:eastAsia="zh-CN"/>
        </w:rPr>
        <w:t>及技术规格要求</w:t>
      </w:r>
    </w:p>
    <w:p>
      <w:pPr>
        <w:spacing w:line="360" w:lineRule="auto"/>
        <w:jc w:val="left"/>
        <w:rPr>
          <w:rFonts w:hint="default" w:ascii="宋体" w:hAnsi="宋体" w:eastAsia="宋体" w:cs="宋体"/>
          <w:b/>
          <w:bCs w:val="0"/>
          <w:sz w:val="28"/>
          <w:szCs w:val="28"/>
          <w:highlight w:val="none"/>
          <w:lang w:val="en-US" w:eastAsia="zh-CN"/>
        </w:rPr>
      </w:pPr>
      <w:r>
        <w:rPr>
          <w:rFonts w:hint="eastAsia" w:ascii="宋体" w:hAnsi="宋体" w:eastAsia="宋体" w:cs="宋体"/>
          <w:b/>
          <w:bCs w:val="0"/>
          <w:sz w:val="28"/>
          <w:szCs w:val="28"/>
          <w:highlight w:val="none"/>
          <w:lang w:val="en-US" w:eastAsia="zh-CN"/>
        </w:rPr>
        <w:t>一、工程量清单</w:t>
      </w:r>
    </w:p>
    <w:tbl>
      <w:tblPr>
        <w:tblStyle w:val="21"/>
        <w:tblW w:w="9283" w:type="dxa"/>
        <w:tblInd w:w="-2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0"/>
        <w:gridCol w:w="2578"/>
        <w:gridCol w:w="3481"/>
        <w:gridCol w:w="452"/>
        <w:gridCol w:w="570"/>
        <w:gridCol w:w="668"/>
        <w:gridCol w:w="8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6709" w:type="dxa"/>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黑体" w:hAnsi="宋体" w:eastAsia="黑体" w:cs="黑体"/>
                <w:i w:val="0"/>
                <w:iCs w:val="0"/>
                <w:color w:val="000000"/>
                <w:sz w:val="21"/>
                <w:szCs w:val="21"/>
                <w:u w:val="none"/>
              </w:rPr>
            </w:pPr>
            <w:r>
              <w:rPr>
                <w:rFonts w:hint="eastAsia" w:ascii="黑体" w:hAnsi="宋体" w:eastAsia="黑体" w:cs="黑体"/>
                <w:i w:val="0"/>
                <w:iCs w:val="0"/>
                <w:color w:val="000000"/>
                <w:kern w:val="0"/>
                <w:sz w:val="32"/>
                <w:szCs w:val="32"/>
                <w:u w:val="none"/>
                <w:lang w:val="en-US" w:eastAsia="zh-CN" w:bidi="ar"/>
              </w:rPr>
              <w:t>服务区综合楼</w:t>
            </w:r>
          </w:p>
        </w:tc>
        <w:tc>
          <w:tcPr>
            <w:tcW w:w="452" w:type="dxa"/>
            <w:tcBorders>
              <w:top w:val="nil"/>
              <w:left w:val="nil"/>
              <w:bottom w:val="nil"/>
              <w:right w:val="nil"/>
            </w:tcBorders>
            <w:shd w:val="clear" w:color="auto" w:fill="auto"/>
            <w:vAlign w:val="center"/>
          </w:tcPr>
          <w:p>
            <w:pPr>
              <w:jc w:val="left"/>
              <w:rPr>
                <w:rFonts w:hint="eastAsia" w:ascii="黑体" w:hAnsi="宋体" w:eastAsia="黑体" w:cs="黑体"/>
                <w:i w:val="0"/>
                <w:iCs w:val="0"/>
                <w:color w:val="000000"/>
                <w:sz w:val="21"/>
                <w:szCs w:val="21"/>
                <w:u w:val="none"/>
              </w:rPr>
            </w:pPr>
          </w:p>
        </w:tc>
        <w:tc>
          <w:tcPr>
            <w:tcW w:w="570" w:type="dxa"/>
            <w:tcBorders>
              <w:top w:val="nil"/>
              <w:left w:val="nil"/>
              <w:bottom w:val="nil"/>
              <w:right w:val="nil"/>
            </w:tcBorders>
            <w:shd w:val="clear" w:color="auto" w:fill="auto"/>
            <w:vAlign w:val="center"/>
          </w:tcPr>
          <w:p>
            <w:pPr>
              <w:jc w:val="center"/>
              <w:rPr>
                <w:rFonts w:hint="eastAsia" w:ascii="黑体" w:hAnsi="宋体" w:eastAsia="黑体" w:cs="黑体"/>
                <w:i w:val="0"/>
                <w:iCs w:val="0"/>
                <w:color w:val="000000"/>
                <w:sz w:val="21"/>
                <w:szCs w:val="21"/>
                <w:u w:val="none"/>
              </w:rPr>
            </w:pPr>
          </w:p>
        </w:tc>
        <w:tc>
          <w:tcPr>
            <w:tcW w:w="668" w:type="dxa"/>
            <w:tcBorders>
              <w:top w:val="nil"/>
              <w:left w:val="nil"/>
              <w:bottom w:val="nil"/>
              <w:right w:val="nil"/>
            </w:tcBorders>
            <w:shd w:val="clear" w:color="auto" w:fill="auto"/>
            <w:vAlign w:val="center"/>
          </w:tcPr>
          <w:p>
            <w:pPr>
              <w:jc w:val="center"/>
              <w:rPr>
                <w:rFonts w:hint="eastAsia" w:ascii="黑体" w:hAnsi="宋体" w:eastAsia="黑体" w:cs="黑体"/>
                <w:i w:val="0"/>
                <w:iCs w:val="0"/>
                <w:color w:val="000000"/>
                <w:sz w:val="21"/>
                <w:szCs w:val="21"/>
                <w:u w:val="none"/>
              </w:rPr>
            </w:pPr>
          </w:p>
        </w:tc>
        <w:tc>
          <w:tcPr>
            <w:tcW w:w="884" w:type="dxa"/>
            <w:tcBorders>
              <w:top w:val="nil"/>
              <w:left w:val="nil"/>
              <w:bottom w:val="nil"/>
              <w:right w:val="nil"/>
            </w:tcBorders>
            <w:shd w:val="clear" w:color="auto" w:fill="auto"/>
            <w:noWrap/>
            <w:vAlign w:val="center"/>
          </w:tcPr>
          <w:p>
            <w:pPr>
              <w:jc w:val="center"/>
              <w:rPr>
                <w:rFonts w:hint="eastAsia" w:ascii="黑体" w:hAnsi="宋体" w:eastAsia="黑体" w:cs="黑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序号</w:t>
            </w:r>
          </w:p>
        </w:tc>
        <w:tc>
          <w:tcPr>
            <w:tcW w:w="25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清单名称</w:t>
            </w:r>
          </w:p>
        </w:tc>
        <w:tc>
          <w:tcPr>
            <w:tcW w:w="34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清单特征</w:t>
            </w:r>
          </w:p>
        </w:tc>
        <w:tc>
          <w:tcPr>
            <w:tcW w:w="4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单位</w:t>
            </w:r>
          </w:p>
        </w:tc>
        <w:tc>
          <w:tcPr>
            <w:tcW w:w="5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工程量</w:t>
            </w:r>
          </w:p>
        </w:tc>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单价（元）</w:t>
            </w:r>
          </w:p>
        </w:tc>
        <w:tc>
          <w:tcPr>
            <w:tcW w:w="8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综合合价（元）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1"/>
                <w:szCs w:val="21"/>
                <w:u w:val="none"/>
              </w:rPr>
            </w:pPr>
          </w:p>
        </w:tc>
        <w:tc>
          <w:tcPr>
            <w:tcW w:w="25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1"/>
                <w:szCs w:val="21"/>
                <w:u w:val="none"/>
              </w:rPr>
            </w:pPr>
          </w:p>
        </w:tc>
        <w:tc>
          <w:tcPr>
            <w:tcW w:w="34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1"/>
                <w:szCs w:val="21"/>
                <w:u w:val="none"/>
              </w:rPr>
            </w:pPr>
          </w:p>
        </w:tc>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1"/>
                <w:szCs w:val="21"/>
                <w:u w:val="none"/>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1"/>
                <w:szCs w:val="21"/>
                <w:u w:val="none"/>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1"/>
                <w:szCs w:val="21"/>
                <w:u w:val="none"/>
              </w:rPr>
            </w:pP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1"/>
                <w:szCs w:val="21"/>
                <w:u w:val="none"/>
              </w:rPr>
            </w:pPr>
          </w:p>
        </w:tc>
        <w:tc>
          <w:tcPr>
            <w:tcW w:w="25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1"/>
                <w:szCs w:val="21"/>
                <w:u w:val="none"/>
              </w:rPr>
            </w:pPr>
          </w:p>
        </w:tc>
        <w:tc>
          <w:tcPr>
            <w:tcW w:w="34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1"/>
                <w:szCs w:val="21"/>
                <w:u w:val="none"/>
              </w:rPr>
            </w:pPr>
          </w:p>
        </w:tc>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1"/>
                <w:szCs w:val="21"/>
                <w:u w:val="none"/>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1"/>
                <w:szCs w:val="21"/>
                <w:u w:val="none"/>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1"/>
                <w:szCs w:val="21"/>
                <w:u w:val="none"/>
              </w:rPr>
            </w:pP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5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平板型太阳能集热器 P-G/0.6-L/HG-1.90-4</w:t>
            </w:r>
          </w:p>
        </w:tc>
        <w:tc>
          <w:tcPr>
            <w:tcW w:w="3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1、规格：详见图纸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2、含钢支撑及混凝土基础（设备支撑基础）</w:t>
            </w:r>
          </w:p>
        </w:tc>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272</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5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空气源热泵机组   KFRS-5</w:t>
            </w:r>
          </w:p>
        </w:tc>
        <w:tc>
          <w:tcPr>
            <w:tcW w:w="3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技术参数：详见图纸</w:t>
            </w:r>
          </w:p>
        </w:tc>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5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热水箱Φ1800*2400</w:t>
            </w:r>
          </w:p>
        </w:tc>
        <w:tc>
          <w:tcPr>
            <w:tcW w:w="3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材质、类型：开式/不锈钢/聚氨酯发泡保温,有效容积5T</w:t>
            </w:r>
          </w:p>
        </w:tc>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5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变频供水泵 MHI1604</w:t>
            </w:r>
          </w:p>
        </w:tc>
        <w:tc>
          <w:tcPr>
            <w:tcW w:w="3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规格：Q=18m3/h、H=30m、P=2.2kW(一备一用)</w:t>
            </w:r>
          </w:p>
        </w:tc>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5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空气源热泵循环泵PH-257E</w:t>
            </w:r>
          </w:p>
        </w:tc>
        <w:tc>
          <w:tcPr>
            <w:tcW w:w="3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功率：Q=11.4m3/h、H=4m、P=0.41kW</w:t>
            </w:r>
          </w:p>
        </w:tc>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5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集热循环泵   IPL40/160-4/2</w:t>
            </w:r>
          </w:p>
        </w:tc>
        <w:tc>
          <w:tcPr>
            <w:tcW w:w="3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功率：Q=20m3/h、H=30m、P=4.0kW</w:t>
            </w:r>
          </w:p>
        </w:tc>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5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换热循环泵PH-150E</w:t>
            </w:r>
          </w:p>
        </w:tc>
        <w:tc>
          <w:tcPr>
            <w:tcW w:w="3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功率：Q=8.1m3/h、H=3m、P=0.265kW</w:t>
            </w:r>
          </w:p>
        </w:tc>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板式换热器</w:t>
            </w:r>
          </w:p>
        </w:tc>
        <w:tc>
          <w:tcPr>
            <w:tcW w:w="3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型号：换热面积14m2</w:t>
            </w:r>
          </w:p>
        </w:tc>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电磁阀DN40</w:t>
            </w:r>
          </w:p>
        </w:tc>
        <w:tc>
          <w:tcPr>
            <w:tcW w:w="3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技术参数：220v/50Hz</w:t>
            </w:r>
          </w:p>
        </w:tc>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65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控制系统</w:t>
            </w:r>
          </w:p>
        </w:tc>
        <w:tc>
          <w:tcPr>
            <w:tcW w:w="3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1：户外不锈钢材质                   2：触摸屏控制水温 水位调节功能                           3：满足太阳能与空气能使用功能               4.含温度探头(4支)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5.含液位控制仪</w:t>
            </w:r>
          </w:p>
        </w:tc>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65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补液膨胀箱300L</w:t>
            </w:r>
          </w:p>
        </w:tc>
        <w:tc>
          <w:tcPr>
            <w:tcW w:w="34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材质、类型：开式/不锈钢/聚氨酯发泡保温</w:t>
            </w:r>
          </w:p>
        </w:tc>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50" w:type="dxa"/>
            <w:tcBorders>
              <w:top w:val="single" w:color="000000" w:sz="4" w:space="0"/>
              <w:left w:val="single" w:color="000000" w:sz="8"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57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紫外线消毒仪</w:t>
            </w:r>
          </w:p>
        </w:tc>
        <w:tc>
          <w:tcPr>
            <w:tcW w:w="348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型号、规格：流量60m3/h 功率600W</w:t>
            </w:r>
          </w:p>
        </w:tc>
        <w:tc>
          <w:tcPr>
            <w:tcW w:w="45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7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68" w:type="dxa"/>
            <w:tcBorders>
              <w:top w:val="single" w:color="000000" w:sz="4" w:space="0"/>
              <w:left w:val="single" w:color="000000" w:sz="4" w:space="0"/>
              <w:bottom w:val="nil"/>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774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1"/>
                <w:szCs w:val="21"/>
                <w:u w:val="none"/>
                <w:lang w:val="en-US" w:eastAsia="zh-CN" w:bidi="ar"/>
              </w:rPr>
              <w:t>合计</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28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备注：上述单价包含设备的成本、利润、税费（13%增值税）、设备与管道接口处安装、设备自身安装、调试等费用，不含基础、管道、阀门费用。</w:t>
            </w:r>
          </w:p>
        </w:tc>
      </w:tr>
    </w:tbl>
    <w:p>
      <w:pPr>
        <w:pStyle w:val="12"/>
        <w:adjustRightInd w:val="0"/>
        <w:snapToGrid w:val="0"/>
        <w:jc w:val="center"/>
        <w:rPr>
          <w:rFonts w:ascii="Times New Roman" w:hAnsi="Times New Roman" w:cs="Times New Roman"/>
          <w:highlight w:val="none"/>
        </w:rPr>
      </w:pPr>
    </w:p>
    <w:tbl>
      <w:tblPr>
        <w:tblStyle w:val="21"/>
        <w:tblW w:w="9483" w:type="dxa"/>
        <w:tblInd w:w="-4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1"/>
        <w:gridCol w:w="2430"/>
        <w:gridCol w:w="3213"/>
        <w:gridCol w:w="458"/>
        <w:gridCol w:w="565"/>
        <w:gridCol w:w="1106"/>
        <w:gridCol w:w="1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6104" w:type="dxa"/>
            <w:gridSpan w:val="3"/>
            <w:tcBorders>
              <w:top w:val="nil"/>
              <w:left w:val="nil"/>
              <w:bottom w:val="nil"/>
              <w:right w:val="nil"/>
            </w:tcBorders>
            <w:shd w:val="clear" w:color="auto" w:fill="auto"/>
            <w:vAlign w:val="center"/>
          </w:tcPr>
          <w:p>
            <w:pPr>
              <w:keepNext w:val="0"/>
              <w:keepLines w:val="0"/>
              <w:widowControl/>
              <w:suppressLineNumbers w:val="0"/>
              <w:jc w:val="both"/>
              <w:textAlignment w:val="center"/>
              <w:rPr>
                <w:rFonts w:ascii="黑体" w:hAnsi="宋体" w:eastAsia="黑体" w:cs="黑体"/>
                <w:i w:val="0"/>
                <w:iCs w:val="0"/>
                <w:color w:val="000000"/>
                <w:sz w:val="21"/>
                <w:szCs w:val="21"/>
                <w:u w:val="none"/>
              </w:rPr>
            </w:pPr>
            <w:r>
              <w:rPr>
                <w:rFonts w:hint="eastAsia" w:ascii="黑体" w:hAnsi="宋体" w:eastAsia="黑体" w:cs="黑体"/>
                <w:i w:val="0"/>
                <w:iCs w:val="0"/>
                <w:color w:val="000000"/>
                <w:kern w:val="0"/>
                <w:sz w:val="32"/>
                <w:szCs w:val="32"/>
                <w:u w:val="none"/>
                <w:lang w:val="en-US" w:eastAsia="zh-CN" w:bidi="ar"/>
              </w:rPr>
              <w:t>收费站宿舍楼</w:t>
            </w:r>
          </w:p>
        </w:tc>
        <w:tc>
          <w:tcPr>
            <w:tcW w:w="458" w:type="dxa"/>
            <w:tcBorders>
              <w:top w:val="nil"/>
              <w:left w:val="nil"/>
              <w:bottom w:val="nil"/>
              <w:right w:val="nil"/>
            </w:tcBorders>
            <w:shd w:val="clear" w:color="auto" w:fill="auto"/>
            <w:vAlign w:val="center"/>
          </w:tcPr>
          <w:p>
            <w:pPr>
              <w:jc w:val="left"/>
              <w:rPr>
                <w:rFonts w:hint="eastAsia" w:ascii="黑体" w:hAnsi="宋体" w:eastAsia="黑体" w:cs="黑体"/>
                <w:i w:val="0"/>
                <w:iCs w:val="0"/>
                <w:color w:val="000000"/>
                <w:sz w:val="21"/>
                <w:szCs w:val="21"/>
                <w:u w:val="none"/>
              </w:rPr>
            </w:pPr>
          </w:p>
        </w:tc>
        <w:tc>
          <w:tcPr>
            <w:tcW w:w="565" w:type="dxa"/>
            <w:tcBorders>
              <w:top w:val="nil"/>
              <w:left w:val="nil"/>
              <w:bottom w:val="nil"/>
              <w:right w:val="nil"/>
            </w:tcBorders>
            <w:shd w:val="clear" w:color="auto" w:fill="auto"/>
            <w:vAlign w:val="center"/>
          </w:tcPr>
          <w:p>
            <w:pPr>
              <w:jc w:val="center"/>
              <w:rPr>
                <w:rFonts w:hint="eastAsia" w:ascii="黑体" w:hAnsi="宋体" w:eastAsia="黑体" w:cs="黑体"/>
                <w:i w:val="0"/>
                <w:iCs w:val="0"/>
                <w:color w:val="000000"/>
                <w:sz w:val="21"/>
                <w:szCs w:val="21"/>
                <w:u w:val="none"/>
              </w:rPr>
            </w:pPr>
          </w:p>
        </w:tc>
        <w:tc>
          <w:tcPr>
            <w:tcW w:w="1106" w:type="dxa"/>
            <w:tcBorders>
              <w:top w:val="nil"/>
              <w:left w:val="nil"/>
              <w:bottom w:val="nil"/>
              <w:right w:val="nil"/>
            </w:tcBorders>
            <w:shd w:val="clear" w:color="auto" w:fill="auto"/>
            <w:vAlign w:val="center"/>
          </w:tcPr>
          <w:p>
            <w:pPr>
              <w:jc w:val="center"/>
              <w:rPr>
                <w:rFonts w:hint="eastAsia" w:ascii="黑体" w:hAnsi="宋体" w:eastAsia="黑体" w:cs="黑体"/>
                <w:i w:val="0"/>
                <w:iCs w:val="0"/>
                <w:color w:val="000000"/>
                <w:sz w:val="21"/>
                <w:szCs w:val="21"/>
                <w:u w:val="none"/>
              </w:rPr>
            </w:pPr>
          </w:p>
        </w:tc>
        <w:tc>
          <w:tcPr>
            <w:tcW w:w="1250" w:type="dxa"/>
            <w:tcBorders>
              <w:top w:val="nil"/>
              <w:left w:val="nil"/>
              <w:bottom w:val="nil"/>
              <w:right w:val="nil"/>
            </w:tcBorders>
            <w:shd w:val="clear" w:color="auto" w:fill="auto"/>
            <w:noWrap/>
            <w:vAlign w:val="center"/>
          </w:tcPr>
          <w:p>
            <w:pPr>
              <w:jc w:val="center"/>
              <w:rPr>
                <w:rFonts w:hint="eastAsia" w:ascii="黑体" w:hAnsi="宋体" w:eastAsia="黑体" w:cs="黑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46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序号</w:t>
            </w:r>
          </w:p>
        </w:tc>
        <w:tc>
          <w:tcPr>
            <w:tcW w:w="243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项目名称</w:t>
            </w:r>
          </w:p>
        </w:tc>
        <w:tc>
          <w:tcPr>
            <w:tcW w:w="321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项目特征描述</w:t>
            </w:r>
          </w:p>
        </w:tc>
        <w:tc>
          <w:tcPr>
            <w:tcW w:w="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计量</w:t>
            </w:r>
            <w:r>
              <w:rPr>
                <w:rFonts w:hint="eastAsia" w:ascii="黑体" w:hAnsi="宋体" w:eastAsia="黑体" w:cs="黑体"/>
                <w:i w:val="0"/>
                <w:iCs w:val="0"/>
                <w:color w:val="000000"/>
                <w:kern w:val="0"/>
                <w:sz w:val="22"/>
                <w:szCs w:val="22"/>
                <w:u w:val="none"/>
                <w:lang w:val="en-US" w:eastAsia="zh-CN" w:bidi="ar"/>
              </w:rPr>
              <w:br w:type="textWrapping"/>
            </w:r>
            <w:r>
              <w:rPr>
                <w:rFonts w:hint="eastAsia" w:ascii="黑体" w:hAnsi="宋体" w:eastAsia="黑体" w:cs="黑体"/>
                <w:i w:val="0"/>
                <w:iCs w:val="0"/>
                <w:color w:val="000000"/>
                <w:kern w:val="0"/>
                <w:sz w:val="22"/>
                <w:szCs w:val="22"/>
                <w:u w:val="none"/>
                <w:lang w:val="en-US" w:eastAsia="zh-CN" w:bidi="ar"/>
              </w:rPr>
              <w:t>单位</w:t>
            </w:r>
          </w:p>
        </w:tc>
        <w:tc>
          <w:tcPr>
            <w:tcW w:w="56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工程量</w:t>
            </w:r>
          </w:p>
        </w:tc>
        <w:tc>
          <w:tcPr>
            <w:tcW w:w="11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单价（元）</w:t>
            </w:r>
          </w:p>
        </w:tc>
        <w:tc>
          <w:tcPr>
            <w:tcW w:w="12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1"/>
                <w:szCs w:val="21"/>
                <w:u w:val="none"/>
                <w:lang w:val="en-US" w:eastAsia="zh-CN" w:bidi="ar"/>
              </w:rPr>
              <w:t>综合合价（元）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46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宋体" w:eastAsia="黑体" w:cs="黑体"/>
                <w:i w:val="0"/>
                <w:iCs w:val="0"/>
                <w:color w:val="000000"/>
                <w:sz w:val="22"/>
                <w:szCs w:val="22"/>
                <w:u w:val="none"/>
              </w:rPr>
            </w:pPr>
          </w:p>
        </w:tc>
        <w:tc>
          <w:tcPr>
            <w:tcW w:w="24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宋体" w:eastAsia="黑体" w:cs="黑体"/>
                <w:i w:val="0"/>
                <w:iCs w:val="0"/>
                <w:color w:val="000000"/>
                <w:sz w:val="22"/>
                <w:szCs w:val="22"/>
                <w:u w:val="none"/>
              </w:rPr>
            </w:pPr>
          </w:p>
        </w:tc>
        <w:tc>
          <w:tcPr>
            <w:tcW w:w="32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宋体" w:eastAsia="黑体" w:cs="黑体"/>
                <w:i w:val="0"/>
                <w:iCs w:val="0"/>
                <w:color w:val="000000"/>
                <w:sz w:val="22"/>
                <w:szCs w:val="22"/>
                <w:u w:val="none"/>
              </w:rPr>
            </w:pPr>
          </w:p>
        </w:tc>
        <w:tc>
          <w:tcPr>
            <w:tcW w:w="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宋体" w:eastAsia="黑体" w:cs="黑体"/>
                <w:i w:val="0"/>
                <w:iCs w:val="0"/>
                <w:color w:val="000000"/>
                <w:sz w:val="22"/>
                <w:szCs w:val="22"/>
                <w:u w:val="none"/>
              </w:rPr>
            </w:pP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宋体" w:eastAsia="黑体" w:cs="黑体"/>
                <w:i w:val="0"/>
                <w:iCs w:val="0"/>
                <w:color w:val="000000"/>
                <w:sz w:val="22"/>
                <w:szCs w:val="22"/>
                <w:u w:val="none"/>
              </w:rPr>
            </w:pPr>
          </w:p>
        </w:tc>
        <w:tc>
          <w:tcPr>
            <w:tcW w:w="1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1"/>
                <w:szCs w:val="21"/>
                <w:u w:val="none"/>
              </w:rPr>
            </w:pPr>
          </w:p>
        </w:tc>
        <w:tc>
          <w:tcPr>
            <w:tcW w:w="1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46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宋体" w:eastAsia="黑体" w:cs="黑体"/>
                <w:i w:val="0"/>
                <w:iCs w:val="0"/>
                <w:color w:val="000000"/>
                <w:sz w:val="22"/>
                <w:szCs w:val="22"/>
                <w:u w:val="none"/>
              </w:rPr>
            </w:pPr>
          </w:p>
        </w:tc>
        <w:tc>
          <w:tcPr>
            <w:tcW w:w="24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宋体" w:eastAsia="黑体" w:cs="黑体"/>
                <w:i w:val="0"/>
                <w:iCs w:val="0"/>
                <w:color w:val="000000"/>
                <w:sz w:val="22"/>
                <w:szCs w:val="22"/>
                <w:u w:val="none"/>
              </w:rPr>
            </w:pPr>
          </w:p>
        </w:tc>
        <w:tc>
          <w:tcPr>
            <w:tcW w:w="32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宋体" w:eastAsia="黑体" w:cs="黑体"/>
                <w:i w:val="0"/>
                <w:iCs w:val="0"/>
                <w:color w:val="000000"/>
                <w:sz w:val="22"/>
                <w:szCs w:val="22"/>
                <w:u w:val="none"/>
              </w:rPr>
            </w:pPr>
          </w:p>
        </w:tc>
        <w:tc>
          <w:tcPr>
            <w:tcW w:w="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宋体" w:eastAsia="黑体" w:cs="黑体"/>
                <w:i w:val="0"/>
                <w:iCs w:val="0"/>
                <w:color w:val="000000"/>
                <w:sz w:val="22"/>
                <w:szCs w:val="22"/>
                <w:u w:val="none"/>
              </w:rPr>
            </w:pP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宋体" w:eastAsia="黑体" w:cs="黑体"/>
                <w:i w:val="0"/>
                <w:iCs w:val="0"/>
                <w:color w:val="000000"/>
                <w:sz w:val="22"/>
                <w:szCs w:val="22"/>
                <w:u w:val="none"/>
              </w:rPr>
            </w:pPr>
          </w:p>
        </w:tc>
        <w:tc>
          <w:tcPr>
            <w:tcW w:w="1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1"/>
                <w:szCs w:val="21"/>
                <w:u w:val="none"/>
              </w:rPr>
            </w:pPr>
          </w:p>
        </w:tc>
        <w:tc>
          <w:tcPr>
            <w:tcW w:w="1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平板型太阳能集热器   P-G/0.6-L/HG-1.90-4</w:t>
            </w:r>
          </w:p>
        </w:tc>
        <w:tc>
          <w:tcPr>
            <w:tcW w:w="3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1、规格：详见图纸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2、含钢支撑及混凝土基础</w:t>
            </w:r>
            <w:r>
              <w:rPr>
                <w:rFonts w:hint="eastAsia" w:ascii="宋体" w:hAnsi="宋体" w:eastAsia="宋体" w:cs="宋体"/>
                <w:i w:val="0"/>
                <w:iCs w:val="0"/>
                <w:color w:val="000000"/>
                <w:kern w:val="0"/>
                <w:sz w:val="21"/>
                <w:szCs w:val="21"/>
                <w:u w:val="none"/>
                <w:lang w:val="en-US" w:eastAsia="zh-CN" w:bidi="ar"/>
              </w:rPr>
              <w:t>（设备支撑基础）</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空气源热泵机组   KRS-3</w:t>
            </w:r>
          </w:p>
        </w:tc>
        <w:tc>
          <w:tcPr>
            <w:tcW w:w="3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技术参数：详见图纸</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热水箱Φ1300*1980</w:t>
            </w:r>
          </w:p>
        </w:tc>
        <w:tc>
          <w:tcPr>
            <w:tcW w:w="3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材质、类型：开式/不锈钢/聚氨酯发泡保温,有效容积2T</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变频供水泵 MHI1604</w:t>
            </w:r>
          </w:p>
        </w:tc>
        <w:tc>
          <w:tcPr>
            <w:tcW w:w="3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规格：Q=18m3/h、H=30m、P=2.2kW(一备一用)</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空气源热泵循环泵  PH-257E</w:t>
            </w:r>
          </w:p>
        </w:tc>
        <w:tc>
          <w:tcPr>
            <w:tcW w:w="3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功率：Q=11.4m3/h、H=4m、P=0.41kW</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集热循环泵   IPL40/160-4/2</w:t>
            </w:r>
          </w:p>
        </w:tc>
        <w:tc>
          <w:tcPr>
            <w:tcW w:w="3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功率：Q=20m3/h、H=30m、P=4.0kW</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换热循环泵PH-150E</w:t>
            </w:r>
          </w:p>
        </w:tc>
        <w:tc>
          <w:tcPr>
            <w:tcW w:w="3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功率：Q=8.1m3/h、H=3m、P=0.265kW</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板式换热器</w:t>
            </w:r>
          </w:p>
        </w:tc>
        <w:tc>
          <w:tcPr>
            <w:tcW w:w="3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型号：换热面积14m2</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电磁阀DN40</w:t>
            </w:r>
          </w:p>
        </w:tc>
        <w:tc>
          <w:tcPr>
            <w:tcW w:w="3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技术参数：220v/50Hz</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控制系统</w:t>
            </w:r>
          </w:p>
        </w:tc>
        <w:tc>
          <w:tcPr>
            <w:tcW w:w="3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1：户外不锈钢材质                   2：触摸屏控制水温 水位调节功能                           3：满足太阳能与空气能使用功能               4.含温度探头(4支)          5.含液位控制仪</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6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43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补液膨胀箱300L</w:t>
            </w:r>
          </w:p>
        </w:tc>
        <w:tc>
          <w:tcPr>
            <w:tcW w:w="321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材质、类型：开式/不锈钢/聚氨酯发泡保温</w:t>
            </w:r>
          </w:p>
        </w:tc>
        <w:tc>
          <w:tcPr>
            <w:tcW w:w="45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56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06" w:type="dxa"/>
            <w:tcBorders>
              <w:top w:val="single" w:color="000000" w:sz="4" w:space="0"/>
              <w:left w:val="single" w:color="000000" w:sz="4" w:space="0"/>
              <w:bottom w:val="nil"/>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w:t>
            </w:r>
          </w:p>
        </w:tc>
        <w:tc>
          <w:tcPr>
            <w:tcW w:w="7772"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default" w:ascii="Arial" w:hAnsi="Arial" w:eastAsia="宋体"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default" w:ascii="Arial" w:hAnsi="Arial" w:eastAsia="宋体"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48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备注：上述单价包含设备的成本、利润、税费（13%增值税）、设备与管道接口处安装、设备自身安装、调试等费用，不含基础、管道、阀门费用。</w:t>
            </w:r>
          </w:p>
        </w:tc>
      </w:tr>
    </w:tbl>
    <w:p>
      <w:pPr>
        <w:pStyle w:val="2"/>
      </w:pPr>
    </w:p>
    <w:p>
      <w:pPr>
        <w:pStyle w:val="2"/>
        <w:rPr>
          <w:rFonts w:hint="eastAsia"/>
          <w:lang w:val="en-US" w:eastAsia="zh-CN"/>
        </w:rPr>
      </w:pPr>
    </w:p>
    <w:p>
      <w:pPr>
        <w:rPr>
          <w:rFonts w:hint="eastAsia"/>
          <w:lang w:val="en-US" w:eastAsia="zh-CN"/>
        </w:rPr>
      </w:pPr>
    </w:p>
    <w:p>
      <w:pPr>
        <w:spacing w:line="360" w:lineRule="auto"/>
        <w:jc w:val="left"/>
        <w:rPr>
          <w:rFonts w:hint="default" w:ascii="宋体" w:hAnsi="宋体" w:eastAsia="宋体" w:cs="宋体"/>
          <w:b/>
          <w:bCs w:val="0"/>
          <w:sz w:val="28"/>
          <w:szCs w:val="28"/>
          <w:highlight w:val="none"/>
          <w:lang w:val="en-US" w:eastAsia="zh-CN"/>
        </w:rPr>
      </w:pPr>
      <w:r>
        <w:rPr>
          <w:rFonts w:hint="eastAsia" w:ascii="宋体" w:hAnsi="宋体" w:eastAsia="宋体" w:cs="宋体"/>
          <w:b/>
          <w:bCs w:val="0"/>
          <w:sz w:val="28"/>
          <w:szCs w:val="28"/>
          <w:highlight w:val="none"/>
          <w:lang w:val="en-US" w:eastAsia="zh-CN"/>
        </w:rPr>
        <w:t>二、技术规格要求</w:t>
      </w:r>
    </w:p>
    <w:p>
      <w:pPr>
        <w:rPr>
          <w:rFonts w:hint="eastAsia" w:ascii="Times New Roman" w:hAnsi="Times New Roman" w:eastAsia="宋体" w:cs="Times New Roman"/>
          <w:highlight w:val="none"/>
          <w:lang w:val="en-US" w:eastAsia="zh-CN"/>
        </w:rPr>
      </w:pPr>
      <w:bookmarkStart w:id="64" w:name="_Toc11058"/>
      <w:r>
        <w:rPr>
          <w:rFonts w:hint="eastAsia" w:ascii="Times New Roman" w:hAnsi="Times New Roman" w:eastAsia="宋体" w:cs="Times New Roman"/>
          <w:highlight w:val="none"/>
          <w:lang w:val="en-US" w:eastAsia="zh-CN"/>
        </w:rPr>
        <w:drawing>
          <wp:inline distT="0" distB="0" distL="114300" distR="114300">
            <wp:extent cx="5701665" cy="2335530"/>
            <wp:effectExtent l="0" t="0" r="635" b="1270"/>
            <wp:docPr id="10" name="图片 10" descr="171023484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10234845593"/>
                    <pic:cNvPicPr>
                      <a:picLocks noChangeAspect="1"/>
                    </pic:cNvPicPr>
                  </pic:nvPicPr>
                  <pic:blipFill>
                    <a:blip r:embed="rId17"/>
                    <a:stretch>
                      <a:fillRect/>
                    </a:stretch>
                  </pic:blipFill>
                  <pic:spPr>
                    <a:xfrm>
                      <a:off x="0" y="0"/>
                      <a:ext cx="5701665" cy="2335530"/>
                    </a:xfrm>
                    <a:prstGeom prst="rect">
                      <a:avLst/>
                    </a:prstGeom>
                  </pic:spPr>
                </pic:pic>
              </a:graphicData>
            </a:graphic>
          </wp:inline>
        </w:drawing>
      </w:r>
    </w:p>
    <w:p>
      <w:pP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drawing>
          <wp:inline distT="0" distB="0" distL="114300" distR="114300">
            <wp:extent cx="5693410" cy="1253490"/>
            <wp:effectExtent l="0" t="0" r="8890" b="3810"/>
            <wp:docPr id="11" name="图片 11" descr="171023487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10234871533"/>
                    <pic:cNvPicPr>
                      <a:picLocks noChangeAspect="1"/>
                    </pic:cNvPicPr>
                  </pic:nvPicPr>
                  <pic:blipFill>
                    <a:blip r:embed="rId18"/>
                    <a:stretch>
                      <a:fillRect/>
                    </a:stretch>
                  </pic:blipFill>
                  <pic:spPr>
                    <a:xfrm>
                      <a:off x="0" y="0"/>
                      <a:ext cx="5693410" cy="1253490"/>
                    </a:xfrm>
                    <a:prstGeom prst="rect">
                      <a:avLst/>
                    </a:prstGeom>
                  </pic:spPr>
                </pic:pic>
              </a:graphicData>
            </a:graphic>
          </wp:inline>
        </w:drawing>
      </w:r>
    </w:p>
    <w:p>
      <w:pP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drawing>
          <wp:inline distT="0" distB="0" distL="114300" distR="114300">
            <wp:extent cx="5684520" cy="3947160"/>
            <wp:effectExtent l="0" t="0" r="5080" b="2540"/>
            <wp:docPr id="12" name="图片 12" descr="171023489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10234894165"/>
                    <pic:cNvPicPr>
                      <a:picLocks noChangeAspect="1"/>
                    </pic:cNvPicPr>
                  </pic:nvPicPr>
                  <pic:blipFill>
                    <a:blip r:embed="rId19"/>
                    <a:stretch>
                      <a:fillRect/>
                    </a:stretch>
                  </pic:blipFill>
                  <pic:spPr>
                    <a:xfrm>
                      <a:off x="0" y="0"/>
                      <a:ext cx="5684520" cy="3947160"/>
                    </a:xfrm>
                    <a:prstGeom prst="rect">
                      <a:avLst/>
                    </a:prstGeom>
                  </pic:spPr>
                </pic:pic>
              </a:graphicData>
            </a:graphic>
          </wp:inline>
        </w:drawing>
      </w:r>
      <w:r>
        <w:rPr>
          <w:rFonts w:hint="eastAsia" w:ascii="Times New Roman" w:hAnsi="Times New Roman" w:eastAsia="宋体" w:cs="Times New Roman"/>
          <w:highlight w:val="none"/>
          <w:lang w:val="en-US" w:eastAsia="zh-CN"/>
        </w:rPr>
        <w:br w:type="page"/>
      </w:r>
    </w:p>
    <w:p>
      <w:pPr>
        <w:rPr>
          <w:rFonts w:hint="eastAsia"/>
          <w:lang w:val="en-US" w:eastAsia="zh-CN"/>
        </w:rPr>
      </w:pPr>
    </w:p>
    <w:p>
      <w:pPr>
        <w:pStyle w:val="3"/>
        <w:numPr>
          <w:ilvl w:val="255"/>
          <w:numId w:val="0"/>
        </w:numPr>
        <w:spacing w:before="312" w:after="312"/>
        <w:ind w:left="402"/>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第六章 响应文件格式</w:t>
      </w:r>
      <w:bookmarkEnd w:id="64"/>
    </w:p>
    <w:p>
      <w:pPr>
        <w:jc w:val="center"/>
        <w:rPr>
          <w:rFonts w:ascii="Times New Roman" w:hAnsi="Times New Roman" w:eastAsia="黑体" w:cs="Times New Roman"/>
          <w:sz w:val="36"/>
          <w:szCs w:val="36"/>
          <w:highlight w:val="none"/>
        </w:rPr>
      </w:pPr>
      <w:r>
        <w:rPr>
          <w:rFonts w:ascii="Times New Roman" w:hAnsi="Times New Roman" w:eastAsia="宋体" w:cs="Times New Roman"/>
          <w:highlight w:val="none"/>
        </w:rPr>
        <w:br w:type="page"/>
      </w:r>
      <w:r>
        <w:rPr>
          <w:rFonts w:hint="eastAsia" w:ascii="宋体" w:hAnsi="宋体" w:eastAsia="宋体" w:cs="宋体"/>
          <w:b/>
          <w:bCs/>
          <w:kern w:val="0"/>
          <w:sz w:val="36"/>
          <w:szCs w:val="36"/>
          <w:highlight w:val="none"/>
          <w:u w:val="single"/>
          <w:lang w:val="en-US" w:eastAsia="zh-CN"/>
        </w:rPr>
        <w:t xml:space="preserve">                                </w:t>
      </w:r>
      <w:r>
        <w:rPr>
          <w:rFonts w:hint="eastAsia" w:ascii="宋体" w:hAnsi="宋体" w:eastAsia="宋体" w:cs="宋体"/>
          <w:b/>
          <w:bCs/>
          <w:kern w:val="0"/>
          <w:sz w:val="36"/>
          <w:szCs w:val="36"/>
          <w:highlight w:val="none"/>
          <w:u w:val="none"/>
          <w:lang w:val="en-US" w:eastAsia="zh-CN"/>
        </w:rPr>
        <w:t>项目</w:t>
      </w:r>
      <w:r>
        <w:rPr>
          <w:rFonts w:ascii="Times New Roman" w:hAnsi="Times New Roman" w:eastAsia="黑体" w:cs="Times New Roman"/>
          <w:sz w:val="36"/>
          <w:szCs w:val="36"/>
          <w:highlight w:val="none"/>
        </w:rPr>
        <w:t>询比</w:t>
      </w:r>
    </w:p>
    <w:p>
      <w:pPr>
        <w:spacing w:line="440" w:lineRule="exact"/>
        <w:rPr>
          <w:rFonts w:ascii="Times New Roman" w:hAnsi="Times New Roman" w:eastAsia="黑体" w:cs="Times New Roman"/>
          <w:sz w:val="20"/>
          <w:szCs w:val="20"/>
          <w:highlight w:val="none"/>
        </w:rPr>
      </w:pPr>
      <w:r>
        <w:rPr>
          <w:rFonts w:ascii="Times New Roman" w:hAnsi="Times New Roman" w:eastAsia="黑体" w:cs="Times New Roman"/>
          <w:sz w:val="20"/>
          <w:szCs w:val="20"/>
          <w:highlight w:val="none"/>
        </w:rPr>
        <w:t xml:space="preserve"> </w:t>
      </w:r>
    </w:p>
    <w:p>
      <w:pPr>
        <w:spacing w:line="440" w:lineRule="exact"/>
        <w:rPr>
          <w:rFonts w:ascii="Times New Roman" w:hAnsi="Times New Roman" w:eastAsia="黑体" w:cs="Times New Roman"/>
          <w:sz w:val="40"/>
          <w:szCs w:val="40"/>
          <w:highlight w:val="none"/>
        </w:rPr>
      </w:pPr>
    </w:p>
    <w:p>
      <w:pPr>
        <w:spacing w:line="440" w:lineRule="exact"/>
        <w:jc w:val="center"/>
        <w:rPr>
          <w:rFonts w:ascii="Times New Roman" w:hAnsi="Times New Roman" w:eastAsia="黑体" w:cs="Times New Roman"/>
          <w:sz w:val="40"/>
          <w:szCs w:val="40"/>
          <w:highlight w:val="none"/>
        </w:rPr>
      </w:pPr>
    </w:p>
    <w:p>
      <w:pPr>
        <w:spacing w:line="440" w:lineRule="exact"/>
        <w:jc w:val="center"/>
        <w:rPr>
          <w:rFonts w:ascii="Times New Roman" w:hAnsi="Times New Roman" w:eastAsia="黑体" w:cs="Times New Roman"/>
          <w:sz w:val="40"/>
          <w:szCs w:val="40"/>
          <w:highlight w:val="none"/>
        </w:rPr>
      </w:pPr>
    </w:p>
    <w:p>
      <w:pPr>
        <w:spacing w:line="440" w:lineRule="exact"/>
        <w:jc w:val="center"/>
        <w:rPr>
          <w:rFonts w:ascii="Times New Roman" w:hAnsi="Times New Roman" w:eastAsia="黑体" w:cs="Times New Roman"/>
          <w:sz w:val="40"/>
          <w:szCs w:val="40"/>
          <w:highlight w:val="none"/>
        </w:rPr>
      </w:pPr>
    </w:p>
    <w:p>
      <w:pPr>
        <w:jc w:val="center"/>
        <w:rPr>
          <w:rFonts w:ascii="Times New Roman" w:hAnsi="Times New Roman" w:eastAsia="黑体" w:cs="Times New Roman"/>
          <w:sz w:val="50"/>
          <w:szCs w:val="50"/>
          <w:highlight w:val="none"/>
        </w:rPr>
      </w:pPr>
      <w:bookmarkStart w:id="65" w:name="_Toc29687_WPSOffice_Level1"/>
      <w:bookmarkStart w:id="66" w:name="_Toc1914_WPSOffice_Level1"/>
      <w:bookmarkStart w:id="67" w:name="_Toc17394_WPSOffice_Level1"/>
      <w:bookmarkStart w:id="68" w:name="_Toc32044_WPSOffice_Level1"/>
      <w:bookmarkStart w:id="69" w:name="_Toc10484_WPSOffice_Level1"/>
      <w:r>
        <w:rPr>
          <w:rFonts w:ascii="Times New Roman" w:hAnsi="Times New Roman" w:eastAsia="黑体" w:cs="Times New Roman"/>
          <w:sz w:val="50"/>
          <w:szCs w:val="50"/>
          <w:highlight w:val="none"/>
        </w:rPr>
        <w:t>响  应  文  件</w:t>
      </w:r>
      <w:bookmarkEnd w:id="65"/>
      <w:bookmarkEnd w:id="66"/>
      <w:bookmarkEnd w:id="67"/>
      <w:bookmarkEnd w:id="68"/>
      <w:bookmarkEnd w:id="69"/>
    </w:p>
    <w:p>
      <w:pPr>
        <w:pStyle w:val="20"/>
        <w:ind w:firstLine="2560" w:firstLineChars="800"/>
        <w:jc w:val="both"/>
        <w:rPr>
          <w:rFonts w:hint="eastAsia" w:ascii="Times New Roman" w:hAnsi="Times New Roman" w:eastAsia="黑体" w:cs="Times New Roman"/>
          <w:kern w:val="2"/>
          <w:sz w:val="32"/>
          <w:szCs w:val="32"/>
          <w:highlight w:val="none"/>
          <w:lang w:val="en-US" w:eastAsia="zh-CN" w:bidi="ar-SA"/>
        </w:rPr>
      </w:pPr>
      <w:r>
        <w:rPr>
          <w:rFonts w:hint="eastAsia" w:ascii="Times New Roman" w:hAnsi="Times New Roman" w:eastAsia="黑体" w:cs="Times New Roman"/>
          <w:kern w:val="2"/>
          <w:sz w:val="32"/>
          <w:szCs w:val="32"/>
          <w:highlight w:val="none"/>
          <w:lang w:val="en-US" w:eastAsia="zh-CN" w:bidi="ar-SA"/>
        </w:rPr>
        <w:t>（商务及技术文件）</w:t>
      </w:r>
    </w:p>
    <w:p>
      <w:pPr>
        <w:spacing w:line="440" w:lineRule="exact"/>
        <w:rPr>
          <w:rFonts w:ascii="Times New Roman" w:hAnsi="Times New Roman" w:eastAsia="黑体" w:cs="Times New Roman"/>
          <w:sz w:val="20"/>
          <w:szCs w:val="20"/>
          <w:highlight w:val="none"/>
        </w:rPr>
      </w:pPr>
    </w:p>
    <w:p>
      <w:pPr>
        <w:spacing w:line="440" w:lineRule="exact"/>
        <w:rPr>
          <w:rFonts w:ascii="Times New Roman" w:hAnsi="Times New Roman" w:eastAsia="黑体" w:cs="Times New Roman"/>
          <w:sz w:val="20"/>
          <w:szCs w:val="20"/>
          <w:highlight w:val="none"/>
        </w:rPr>
      </w:pPr>
    </w:p>
    <w:p>
      <w:pPr>
        <w:spacing w:line="440" w:lineRule="exact"/>
        <w:rPr>
          <w:rFonts w:ascii="Times New Roman" w:hAnsi="Times New Roman" w:eastAsia="黑体" w:cs="Times New Roman"/>
          <w:sz w:val="20"/>
          <w:szCs w:val="20"/>
          <w:highlight w:val="none"/>
        </w:rPr>
      </w:pPr>
    </w:p>
    <w:p>
      <w:pPr>
        <w:spacing w:line="440" w:lineRule="exact"/>
        <w:rPr>
          <w:rFonts w:ascii="Times New Roman" w:hAnsi="Times New Roman" w:eastAsia="黑体" w:cs="Times New Roman"/>
          <w:sz w:val="20"/>
          <w:szCs w:val="20"/>
          <w:highlight w:val="none"/>
        </w:rPr>
      </w:pPr>
    </w:p>
    <w:p>
      <w:pPr>
        <w:spacing w:line="440" w:lineRule="exact"/>
        <w:rPr>
          <w:rFonts w:ascii="Times New Roman" w:hAnsi="Times New Roman" w:eastAsia="黑体" w:cs="Times New Roman"/>
          <w:sz w:val="20"/>
          <w:szCs w:val="20"/>
          <w:highlight w:val="none"/>
        </w:rPr>
      </w:pPr>
    </w:p>
    <w:p>
      <w:pPr>
        <w:spacing w:line="440" w:lineRule="exact"/>
        <w:rPr>
          <w:rFonts w:ascii="Times New Roman" w:hAnsi="Times New Roman" w:eastAsia="黑体" w:cs="Times New Roman"/>
          <w:sz w:val="20"/>
          <w:szCs w:val="20"/>
          <w:highlight w:val="none"/>
        </w:rPr>
      </w:pPr>
    </w:p>
    <w:p>
      <w:pPr>
        <w:spacing w:line="440" w:lineRule="exact"/>
        <w:rPr>
          <w:rFonts w:ascii="Times New Roman" w:hAnsi="Times New Roman" w:eastAsia="黑体" w:cs="Times New Roman"/>
          <w:sz w:val="20"/>
          <w:szCs w:val="20"/>
          <w:highlight w:val="none"/>
        </w:rPr>
      </w:pPr>
    </w:p>
    <w:p>
      <w:pPr>
        <w:spacing w:line="440" w:lineRule="exact"/>
        <w:rPr>
          <w:rFonts w:ascii="Times New Roman" w:hAnsi="Times New Roman" w:eastAsia="黑体" w:cs="Times New Roman"/>
          <w:sz w:val="20"/>
          <w:szCs w:val="20"/>
          <w:highlight w:val="none"/>
        </w:rPr>
      </w:pPr>
    </w:p>
    <w:p>
      <w:pPr>
        <w:spacing w:line="440" w:lineRule="exact"/>
        <w:rPr>
          <w:rFonts w:ascii="Times New Roman" w:hAnsi="Times New Roman" w:eastAsia="黑体" w:cs="Times New Roman"/>
          <w:sz w:val="20"/>
          <w:szCs w:val="20"/>
          <w:highlight w:val="none"/>
        </w:rPr>
      </w:pPr>
    </w:p>
    <w:p>
      <w:pPr>
        <w:spacing w:line="440" w:lineRule="exact"/>
        <w:rPr>
          <w:rFonts w:ascii="Times New Roman" w:hAnsi="Times New Roman" w:eastAsia="黑体" w:cs="Times New Roman"/>
          <w:sz w:val="20"/>
          <w:szCs w:val="20"/>
          <w:highlight w:val="none"/>
        </w:rPr>
      </w:pPr>
    </w:p>
    <w:p>
      <w:pPr>
        <w:spacing w:line="440" w:lineRule="exact"/>
        <w:rPr>
          <w:rFonts w:ascii="Times New Roman" w:hAnsi="Times New Roman" w:eastAsia="黑体" w:cs="Times New Roman"/>
          <w:sz w:val="20"/>
          <w:szCs w:val="20"/>
          <w:highlight w:val="none"/>
        </w:rPr>
      </w:pPr>
    </w:p>
    <w:p>
      <w:pPr>
        <w:spacing w:line="440" w:lineRule="exact"/>
        <w:rPr>
          <w:rFonts w:ascii="Times New Roman" w:hAnsi="Times New Roman" w:eastAsia="黑体" w:cs="Times New Roman"/>
          <w:sz w:val="20"/>
          <w:szCs w:val="20"/>
          <w:highlight w:val="none"/>
        </w:rPr>
      </w:pPr>
    </w:p>
    <w:p>
      <w:pPr>
        <w:spacing w:line="440" w:lineRule="exact"/>
        <w:jc w:val="center"/>
        <w:rPr>
          <w:rFonts w:ascii="Times New Roman" w:hAnsi="Times New Roman" w:eastAsia="黑体" w:cs="Times New Roman"/>
          <w:sz w:val="28"/>
          <w:szCs w:val="28"/>
          <w:highlight w:val="none"/>
        </w:rPr>
      </w:pPr>
      <w:bookmarkStart w:id="70" w:name="_Toc25232_WPSOffice_Level2"/>
      <w:bookmarkStart w:id="71" w:name="_Toc5520_WPSOffice_Level2"/>
      <w:r>
        <w:rPr>
          <w:rFonts w:hint="eastAsia" w:ascii="Times New Roman" w:hAnsi="Times New Roman" w:eastAsia="黑体" w:cs="Times New Roman"/>
          <w:sz w:val="28"/>
          <w:szCs w:val="28"/>
          <w:highlight w:val="none"/>
          <w:lang w:val="en-US" w:eastAsia="zh-CN"/>
        </w:rPr>
        <w:t xml:space="preserve">     </w:t>
      </w:r>
      <w:r>
        <w:rPr>
          <w:rFonts w:ascii="Times New Roman" w:hAnsi="Times New Roman" w:eastAsia="黑体" w:cs="Times New Roman"/>
          <w:sz w:val="28"/>
          <w:szCs w:val="28"/>
          <w:highlight w:val="none"/>
        </w:rPr>
        <w:t>供应商：</w:t>
      </w:r>
      <w:r>
        <w:rPr>
          <w:rFonts w:ascii="Times New Roman" w:hAnsi="Times New Roman" w:eastAsia="黑体" w:cs="Times New Roman"/>
          <w:sz w:val="28"/>
          <w:szCs w:val="28"/>
          <w:highlight w:val="none"/>
          <w:u w:val="single"/>
        </w:rPr>
        <w:t xml:space="preserve">           </w:t>
      </w:r>
      <w:r>
        <w:rPr>
          <w:rFonts w:hint="eastAsia" w:ascii="Times New Roman" w:hAnsi="Times New Roman" w:eastAsia="黑体" w:cs="Times New Roman"/>
          <w:sz w:val="28"/>
          <w:szCs w:val="28"/>
          <w:highlight w:val="none"/>
          <w:u w:val="single"/>
          <w:lang w:val="en-US" w:eastAsia="zh-CN"/>
        </w:rPr>
        <w:t xml:space="preserve">     </w:t>
      </w:r>
      <w:r>
        <w:rPr>
          <w:rFonts w:ascii="Times New Roman" w:hAnsi="Times New Roman" w:eastAsia="黑体" w:cs="Times New Roman"/>
          <w:sz w:val="28"/>
          <w:szCs w:val="28"/>
          <w:highlight w:val="none"/>
          <w:u w:val="single"/>
        </w:rPr>
        <w:t xml:space="preserve"> (全称、盖单位章)</w:t>
      </w:r>
      <w:bookmarkEnd w:id="70"/>
      <w:bookmarkEnd w:id="71"/>
      <w:r>
        <w:rPr>
          <w:rFonts w:ascii="Times New Roman" w:hAnsi="Times New Roman" w:eastAsia="黑体" w:cs="Times New Roman"/>
          <w:sz w:val="28"/>
          <w:szCs w:val="28"/>
          <w:highlight w:val="none"/>
          <w:u w:val="single"/>
        </w:rPr>
        <w:t xml:space="preserve"> </w:t>
      </w:r>
    </w:p>
    <w:p>
      <w:pPr>
        <w:spacing w:line="440" w:lineRule="exact"/>
        <w:ind w:firstLine="2158" w:firstLineChars="771"/>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r>
        <w:rPr>
          <w:rFonts w:hint="eastAsia" w:ascii="Times New Roman" w:hAnsi="Times New Roman" w:eastAsia="黑体" w:cs="Times New Roman"/>
          <w:sz w:val="28"/>
          <w:szCs w:val="28"/>
          <w:highlight w:val="none"/>
          <w:u w:val="none"/>
          <w:lang w:val="en-US" w:eastAsia="zh-CN"/>
        </w:rPr>
        <w:t xml:space="preserve">          </w:t>
      </w:r>
      <w:r>
        <w:rPr>
          <w:rFonts w:ascii="Times New Roman" w:hAnsi="Times New Roman" w:eastAsia="黑体" w:cs="Times New Roman"/>
          <w:sz w:val="28"/>
          <w:szCs w:val="28"/>
          <w:highlight w:val="none"/>
          <w:u w:val="single"/>
        </w:rPr>
        <w:t xml:space="preserve">       </w:t>
      </w:r>
      <w:bookmarkStart w:id="72" w:name="_Toc31577_WPSOffice_Level2"/>
      <w:bookmarkStart w:id="73" w:name="_Toc20076_WPSOffice_Level2"/>
      <w:r>
        <w:rPr>
          <w:rFonts w:ascii="Times New Roman" w:hAnsi="Times New Roman" w:eastAsia="黑体" w:cs="Times New Roman"/>
          <w:sz w:val="28"/>
          <w:szCs w:val="28"/>
          <w:highlight w:val="none"/>
        </w:rPr>
        <w:t>年</w:t>
      </w:r>
      <w:r>
        <w:rPr>
          <w:rFonts w:ascii="Times New Roman" w:hAnsi="Times New Roman" w:eastAsia="黑体" w:cs="Times New Roman"/>
          <w:sz w:val="28"/>
          <w:szCs w:val="28"/>
          <w:highlight w:val="none"/>
          <w:u w:val="single"/>
        </w:rPr>
        <w:t xml:space="preserve">     </w:t>
      </w:r>
      <w:r>
        <w:rPr>
          <w:rFonts w:ascii="Times New Roman" w:hAnsi="Times New Roman" w:eastAsia="黑体" w:cs="Times New Roman"/>
          <w:sz w:val="28"/>
          <w:szCs w:val="28"/>
          <w:highlight w:val="none"/>
        </w:rPr>
        <w:t>月</w:t>
      </w:r>
      <w:r>
        <w:rPr>
          <w:rFonts w:ascii="Times New Roman" w:hAnsi="Times New Roman" w:eastAsia="黑体" w:cs="Times New Roman"/>
          <w:sz w:val="28"/>
          <w:szCs w:val="28"/>
          <w:highlight w:val="none"/>
          <w:u w:val="single"/>
        </w:rPr>
        <w:t xml:space="preserve">     </w:t>
      </w:r>
      <w:r>
        <w:rPr>
          <w:rFonts w:ascii="Times New Roman" w:hAnsi="Times New Roman" w:eastAsia="黑体" w:cs="Times New Roman"/>
          <w:sz w:val="28"/>
          <w:szCs w:val="28"/>
          <w:highlight w:val="none"/>
        </w:rPr>
        <w:t>日</w:t>
      </w:r>
      <w:bookmarkEnd w:id="72"/>
      <w:bookmarkEnd w:id="73"/>
    </w:p>
    <w:p>
      <w:pPr>
        <w:spacing w:line="440" w:lineRule="exact"/>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r>
        <w:rPr>
          <w:rFonts w:ascii="Times New Roman" w:hAnsi="Times New Roman" w:eastAsia="黑体" w:cs="Times New Roman"/>
          <w:sz w:val="20"/>
          <w:szCs w:val="20"/>
          <w:highlight w:val="none"/>
        </w:rPr>
        <w:br w:type="page"/>
      </w:r>
      <w:bookmarkStart w:id="74" w:name="_Toc22351_WPSOffice_Level2"/>
      <w:bookmarkStart w:id="75" w:name="_Toc21974_WPSOffice_Level2"/>
      <w:r>
        <w:rPr>
          <w:rFonts w:ascii="Times New Roman" w:hAnsi="Times New Roman" w:eastAsia="黑体" w:cs="Times New Roman"/>
          <w:sz w:val="28"/>
          <w:szCs w:val="28"/>
          <w:highlight w:val="none"/>
        </w:rPr>
        <w:t>目     录</w:t>
      </w:r>
      <w:bookmarkEnd w:id="74"/>
      <w:bookmarkEnd w:id="75"/>
    </w:p>
    <w:p>
      <w:pPr>
        <w:spacing w:line="440" w:lineRule="exact"/>
        <w:rPr>
          <w:rFonts w:ascii="Times New Roman" w:hAnsi="Times New Roman" w:eastAsia="黑体" w:cs="Times New Roman"/>
          <w:sz w:val="20"/>
          <w:szCs w:val="20"/>
          <w:highlight w:val="none"/>
        </w:rPr>
      </w:pPr>
    </w:p>
    <w:p>
      <w:pPr>
        <w:spacing w:line="440" w:lineRule="exact"/>
        <w:ind w:left="1614" w:leftChars="704" w:hanging="136" w:hangingChars="57"/>
        <w:rPr>
          <w:rFonts w:ascii="Times New Roman" w:hAnsi="Times New Roman" w:eastAsia="黑体" w:cs="Times New Roman"/>
          <w:sz w:val="24"/>
          <w:highlight w:val="none"/>
        </w:rPr>
      </w:pPr>
      <w:bookmarkStart w:id="76" w:name="_Toc30529_WPSOffice_Level1"/>
      <w:bookmarkStart w:id="77" w:name="_Toc6353_WPSOffice_Level1"/>
      <w:bookmarkStart w:id="78" w:name="_Toc5842_WPSOffice_Level1"/>
      <w:bookmarkStart w:id="79" w:name="_Toc23368_WPSOffice_Level1"/>
      <w:bookmarkStart w:id="80" w:name="_Toc11424_WPSOffice_Level1"/>
      <w:bookmarkStart w:id="81" w:name="_Toc12670_WPSOffice_Level1"/>
      <w:r>
        <w:rPr>
          <w:rFonts w:ascii="Times New Roman" w:hAnsi="Times New Roman" w:eastAsia="黑体" w:cs="Times New Roman"/>
          <w:sz w:val="24"/>
          <w:highlight w:val="none"/>
        </w:rPr>
        <w:t>一、</w:t>
      </w:r>
      <w:r>
        <w:rPr>
          <w:rFonts w:hint="eastAsia" w:ascii="Times New Roman" w:hAnsi="Times New Roman" w:eastAsia="黑体" w:cs="Times New Roman"/>
          <w:sz w:val="24"/>
          <w:highlight w:val="none"/>
          <w:lang w:val="en-US" w:eastAsia="zh-CN"/>
        </w:rPr>
        <w:t>响应</w:t>
      </w:r>
      <w:r>
        <w:rPr>
          <w:rFonts w:ascii="Times New Roman" w:hAnsi="Times New Roman" w:eastAsia="黑体" w:cs="Times New Roman"/>
          <w:sz w:val="24"/>
          <w:highlight w:val="none"/>
        </w:rPr>
        <w:t>函</w:t>
      </w:r>
      <w:bookmarkEnd w:id="76"/>
      <w:bookmarkEnd w:id="77"/>
      <w:bookmarkEnd w:id="78"/>
      <w:bookmarkEnd w:id="79"/>
      <w:bookmarkEnd w:id="80"/>
    </w:p>
    <w:p>
      <w:pPr>
        <w:spacing w:line="440" w:lineRule="exact"/>
        <w:ind w:left="1614" w:leftChars="704" w:hanging="136" w:hangingChars="57"/>
        <w:rPr>
          <w:rFonts w:ascii="Times New Roman" w:hAnsi="Times New Roman" w:eastAsia="黑体" w:cs="Times New Roman"/>
          <w:sz w:val="24"/>
          <w:highlight w:val="none"/>
        </w:rPr>
      </w:pPr>
      <w:bookmarkStart w:id="82" w:name="_Toc32729_WPSOffice_Level1"/>
      <w:bookmarkStart w:id="83" w:name="_Toc5317_WPSOffice_Level1"/>
      <w:bookmarkStart w:id="84" w:name="_Toc31927_WPSOffice_Level1"/>
      <w:bookmarkStart w:id="85" w:name="_Toc21229_WPSOffice_Level1"/>
      <w:bookmarkStart w:id="86" w:name="_Toc30428_WPSOffice_Level1"/>
      <w:r>
        <w:rPr>
          <w:rFonts w:ascii="Times New Roman" w:hAnsi="Times New Roman" w:eastAsia="黑体" w:cs="Times New Roman"/>
          <w:sz w:val="24"/>
          <w:highlight w:val="none"/>
        </w:rPr>
        <w:t>二、法定代表人身份证明及授权委托书</w:t>
      </w:r>
      <w:bookmarkEnd w:id="82"/>
      <w:bookmarkEnd w:id="83"/>
      <w:bookmarkEnd w:id="84"/>
      <w:bookmarkEnd w:id="85"/>
      <w:bookmarkEnd w:id="86"/>
    </w:p>
    <w:p>
      <w:pPr>
        <w:spacing w:line="440" w:lineRule="exact"/>
        <w:ind w:left="1614" w:leftChars="704" w:hanging="136" w:hangingChars="57"/>
        <w:rPr>
          <w:rFonts w:ascii="Times New Roman" w:hAnsi="Times New Roman" w:eastAsia="黑体" w:cs="Times New Roman"/>
          <w:sz w:val="24"/>
          <w:highlight w:val="none"/>
        </w:rPr>
      </w:pPr>
      <w:bookmarkStart w:id="87" w:name="_Toc21853_WPSOffice_Level1"/>
      <w:bookmarkStart w:id="88" w:name="_Toc25965_WPSOffice_Level1"/>
      <w:bookmarkStart w:id="89" w:name="_Toc4728_WPSOffice_Level1"/>
      <w:bookmarkStart w:id="90" w:name="_Toc23356_WPSOffice_Level1"/>
      <w:bookmarkStart w:id="91" w:name="_Toc29085_WPSOffice_Level1"/>
      <w:r>
        <w:rPr>
          <w:rFonts w:hint="eastAsia" w:ascii="Times New Roman" w:hAnsi="Times New Roman" w:eastAsia="黑体" w:cs="Times New Roman"/>
          <w:sz w:val="24"/>
          <w:highlight w:val="none"/>
        </w:rPr>
        <w:t>三</w:t>
      </w:r>
      <w:r>
        <w:rPr>
          <w:rFonts w:ascii="Times New Roman" w:hAnsi="Times New Roman" w:eastAsia="黑体" w:cs="Times New Roman"/>
          <w:sz w:val="24"/>
          <w:highlight w:val="none"/>
        </w:rPr>
        <w:t>、</w:t>
      </w:r>
      <w:r>
        <w:rPr>
          <w:rFonts w:hint="eastAsia" w:ascii="Times New Roman" w:hAnsi="Times New Roman" w:eastAsia="黑体" w:cs="Times New Roman"/>
          <w:sz w:val="24"/>
          <w:highlight w:val="none"/>
        </w:rPr>
        <w:t>供应商基本情况</w:t>
      </w:r>
    </w:p>
    <w:bookmarkEnd w:id="87"/>
    <w:bookmarkEnd w:id="88"/>
    <w:bookmarkEnd w:id="89"/>
    <w:bookmarkEnd w:id="90"/>
    <w:bookmarkEnd w:id="91"/>
    <w:p>
      <w:pPr>
        <w:spacing w:line="440" w:lineRule="exact"/>
        <w:ind w:left="1614" w:leftChars="704" w:hanging="136" w:hangingChars="57"/>
        <w:rPr>
          <w:rFonts w:hint="eastAsia" w:ascii="Times New Roman" w:hAnsi="Times New Roman" w:eastAsia="黑体" w:cs="Times New Roman"/>
          <w:sz w:val="24"/>
          <w:highlight w:val="none"/>
        </w:rPr>
      </w:pPr>
      <w:bookmarkStart w:id="92" w:name="_Toc23744_WPSOffice_Level1"/>
      <w:bookmarkStart w:id="93" w:name="_Toc7453_WPSOffice_Level1"/>
      <w:bookmarkStart w:id="94" w:name="_Toc29870_WPSOffice_Level1"/>
      <w:bookmarkStart w:id="95" w:name="_Toc18964_WPSOffice_Level1"/>
      <w:bookmarkStart w:id="96" w:name="_Toc10608_WPSOffice_Level1"/>
      <w:r>
        <w:rPr>
          <w:rFonts w:hint="eastAsia" w:ascii="Times New Roman" w:hAnsi="Times New Roman" w:eastAsia="黑体" w:cs="Times New Roman"/>
          <w:sz w:val="24"/>
          <w:highlight w:val="none"/>
        </w:rPr>
        <w:t>四</w:t>
      </w:r>
      <w:r>
        <w:rPr>
          <w:rFonts w:ascii="Times New Roman" w:hAnsi="Times New Roman" w:eastAsia="黑体" w:cs="Times New Roman"/>
          <w:sz w:val="24"/>
          <w:highlight w:val="none"/>
        </w:rPr>
        <w:t>、</w:t>
      </w:r>
      <w:bookmarkEnd w:id="92"/>
      <w:bookmarkEnd w:id="93"/>
      <w:bookmarkEnd w:id="94"/>
      <w:bookmarkEnd w:id="95"/>
      <w:bookmarkEnd w:id="96"/>
      <w:bookmarkStart w:id="97" w:name="_Toc24262_WPSOffice_Level1"/>
      <w:bookmarkStart w:id="98" w:name="_Toc12459_WPSOffice_Level1"/>
      <w:r>
        <w:rPr>
          <w:rFonts w:hint="eastAsia" w:ascii="Times New Roman" w:hAnsi="Times New Roman" w:eastAsia="黑体" w:cs="Times New Roman"/>
          <w:sz w:val="24"/>
          <w:highlight w:val="none"/>
        </w:rPr>
        <w:t>近年类似业绩情况</w:t>
      </w:r>
    </w:p>
    <w:p>
      <w:pPr>
        <w:spacing w:line="440" w:lineRule="exact"/>
        <w:ind w:left="1614" w:leftChars="704" w:hanging="136" w:hangingChars="57"/>
        <w:rPr>
          <w:rFonts w:hint="eastAsia" w:ascii="Times New Roman" w:hAnsi="Times New Roman" w:eastAsia="黑体" w:cs="Times New Roman"/>
          <w:sz w:val="24"/>
          <w:highlight w:val="none"/>
        </w:rPr>
      </w:pPr>
      <w:r>
        <w:rPr>
          <w:rFonts w:hint="eastAsia" w:ascii="Times New Roman" w:hAnsi="Times New Roman" w:eastAsia="黑体" w:cs="Times New Roman"/>
          <w:sz w:val="24"/>
          <w:highlight w:val="none"/>
          <w:lang w:val="en-US" w:eastAsia="zh-CN"/>
        </w:rPr>
        <w:t>五</w:t>
      </w:r>
      <w:r>
        <w:rPr>
          <w:rFonts w:ascii="Times New Roman" w:hAnsi="Times New Roman" w:eastAsia="黑体" w:cs="Times New Roman"/>
          <w:sz w:val="24"/>
          <w:highlight w:val="none"/>
        </w:rPr>
        <w:t>、</w:t>
      </w:r>
      <w:r>
        <w:rPr>
          <w:rFonts w:hint="eastAsia" w:ascii="Times New Roman" w:hAnsi="Times New Roman" w:eastAsia="黑体" w:cs="Times New Roman"/>
          <w:sz w:val="24"/>
          <w:highlight w:val="none"/>
        </w:rPr>
        <w:t>信誉情况</w:t>
      </w:r>
    </w:p>
    <w:p>
      <w:pPr>
        <w:spacing w:line="440" w:lineRule="exact"/>
        <w:ind w:left="1614" w:leftChars="704" w:hanging="136" w:hangingChars="57"/>
        <w:rPr>
          <w:rFonts w:hint="eastAsia" w:ascii="Times New Roman" w:hAnsi="Times New Roman" w:eastAsia="黑体" w:cs="Times New Roman"/>
          <w:sz w:val="24"/>
          <w:highlight w:val="none"/>
        </w:rPr>
      </w:pPr>
      <w:bookmarkStart w:id="99" w:name="_Toc20930_WPSOffice_Level1"/>
      <w:bookmarkStart w:id="100" w:name="_Toc32220_WPSOffice_Level1"/>
      <w:bookmarkStart w:id="101" w:name="_Toc927_WPSOffice_Level1"/>
      <w:r>
        <w:rPr>
          <w:rFonts w:hint="eastAsia" w:ascii="Times New Roman" w:hAnsi="Times New Roman" w:eastAsia="黑体" w:cs="Times New Roman"/>
          <w:sz w:val="24"/>
          <w:highlight w:val="none"/>
        </w:rPr>
        <w:t>六</w:t>
      </w:r>
      <w:r>
        <w:rPr>
          <w:rFonts w:ascii="Times New Roman" w:hAnsi="Times New Roman" w:eastAsia="黑体" w:cs="Times New Roman"/>
          <w:sz w:val="24"/>
          <w:highlight w:val="none"/>
        </w:rPr>
        <w:t>、</w:t>
      </w:r>
      <w:bookmarkEnd w:id="97"/>
      <w:bookmarkEnd w:id="98"/>
      <w:bookmarkEnd w:id="99"/>
      <w:bookmarkEnd w:id="100"/>
      <w:bookmarkEnd w:id="101"/>
      <w:r>
        <w:rPr>
          <w:rFonts w:hint="eastAsia" w:ascii="Times New Roman" w:hAnsi="Times New Roman" w:eastAsia="黑体" w:cs="Times New Roman"/>
          <w:sz w:val="24"/>
          <w:highlight w:val="none"/>
          <w:lang w:val="en-US" w:eastAsia="zh-CN"/>
        </w:rPr>
        <w:t>供货方案</w:t>
      </w:r>
    </w:p>
    <w:p>
      <w:pPr>
        <w:spacing w:line="440" w:lineRule="exact"/>
        <w:ind w:left="1614" w:leftChars="704" w:hanging="136" w:hangingChars="57"/>
        <w:rPr>
          <w:rFonts w:hint="eastAsia" w:ascii="Times New Roman" w:hAnsi="Times New Roman" w:eastAsia="黑体" w:cs="Times New Roman"/>
          <w:sz w:val="24"/>
          <w:highlight w:val="none"/>
          <w:lang w:val="en-US" w:eastAsia="zh-CN"/>
        </w:rPr>
      </w:pPr>
      <w:bookmarkStart w:id="102" w:name="_Toc5885_WPSOffice_Level1"/>
      <w:bookmarkStart w:id="103" w:name="_Toc25973_WPSOffice_Level1"/>
      <w:bookmarkStart w:id="104" w:name="_Toc16988_WPSOffice_Level1"/>
      <w:r>
        <w:rPr>
          <w:rFonts w:hint="eastAsia" w:ascii="Times New Roman" w:hAnsi="Times New Roman" w:eastAsia="黑体" w:cs="Times New Roman"/>
          <w:sz w:val="24"/>
          <w:highlight w:val="none"/>
        </w:rPr>
        <w:t>七、</w:t>
      </w:r>
      <w:bookmarkEnd w:id="81"/>
      <w:bookmarkEnd w:id="102"/>
      <w:bookmarkEnd w:id="103"/>
      <w:bookmarkEnd w:id="104"/>
      <w:r>
        <w:rPr>
          <w:rFonts w:hint="eastAsia" w:ascii="Times New Roman" w:hAnsi="Times New Roman" w:eastAsia="黑体" w:cs="Times New Roman"/>
          <w:sz w:val="24"/>
          <w:highlight w:val="none"/>
          <w:lang w:val="en-US" w:eastAsia="zh-CN"/>
        </w:rPr>
        <w:t>综合实力证明</w:t>
      </w:r>
    </w:p>
    <w:p>
      <w:pPr>
        <w:spacing w:line="440" w:lineRule="exact"/>
        <w:ind w:left="1614" w:leftChars="704" w:hanging="136" w:hangingChars="57"/>
        <w:jc w:val="both"/>
        <w:rPr>
          <w:rFonts w:hint="eastAsia" w:ascii="Times New Roman" w:hAnsi="Times New Roman" w:eastAsia="黑体" w:cs="Times New Roman"/>
          <w:kern w:val="2"/>
          <w:sz w:val="24"/>
          <w:szCs w:val="24"/>
          <w:highlight w:val="none"/>
          <w:lang w:val="en-US" w:eastAsia="zh-CN" w:bidi="ar-SA"/>
        </w:rPr>
      </w:pPr>
      <w:r>
        <w:rPr>
          <w:rFonts w:hint="eastAsia" w:ascii="Times New Roman" w:hAnsi="Times New Roman" w:eastAsia="黑体" w:cs="Times New Roman"/>
          <w:kern w:val="2"/>
          <w:sz w:val="24"/>
          <w:szCs w:val="24"/>
          <w:highlight w:val="none"/>
          <w:lang w:val="en-US" w:eastAsia="zh-CN" w:bidi="ar-SA"/>
        </w:rPr>
        <w:t>八、体系认证</w:t>
      </w:r>
    </w:p>
    <w:p>
      <w:pPr>
        <w:spacing w:line="440" w:lineRule="exact"/>
        <w:ind w:left="1614" w:leftChars="704" w:hanging="136" w:hangingChars="57"/>
        <w:jc w:val="both"/>
        <w:rPr>
          <w:rFonts w:hint="eastAsia" w:ascii="Times New Roman" w:hAnsi="Times New Roman" w:eastAsia="黑体" w:cs="Times New Roman"/>
          <w:kern w:val="2"/>
          <w:sz w:val="24"/>
          <w:szCs w:val="24"/>
          <w:highlight w:val="none"/>
          <w:lang w:val="en-US" w:eastAsia="zh-CN" w:bidi="ar-SA"/>
        </w:rPr>
      </w:pPr>
      <w:r>
        <w:rPr>
          <w:rFonts w:hint="eastAsia" w:ascii="Times New Roman" w:hAnsi="Times New Roman" w:eastAsia="黑体" w:cs="Times New Roman"/>
          <w:kern w:val="2"/>
          <w:sz w:val="24"/>
          <w:szCs w:val="24"/>
          <w:highlight w:val="none"/>
          <w:lang w:val="en-US" w:eastAsia="zh-CN" w:bidi="ar-SA"/>
        </w:rPr>
        <w:t>九、保证金回执</w:t>
      </w:r>
    </w:p>
    <w:p>
      <w:pPr>
        <w:spacing w:line="440" w:lineRule="exact"/>
        <w:ind w:left="1614" w:leftChars="704" w:hanging="136" w:hangingChars="57"/>
        <w:jc w:val="both"/>
        <w:rPr>
          <w:rFonts w:hint="eastAsia" w:ascii="Times New Roman" w:hAnsi="Times New Roman" w:eastAsia="黑体" w:cs="Times New Roman"/>
          <w:kern w:val="2"/>
          <w:sz w:val="24"/>
          <w:szCs w:val="24"/>
          <w:highlight w:val="none"/>
          <w:lang w:val="en-US" w:eastAsia="zh-CN" w:bidi="ar-SA"/>
        </w:rPr>
      </w:pPr>
      <w:r>
        <w:rPr>
          <w:rFonts w:hint="eastAsia" w:ascii="Times New Roman" w:hAnsi="Times New Roman" w:eastAsia="黑体" w:cs="Times New Roman"/>
          <w:kern w:val="2"/>
          <w:sz w:val="24"/>
          <w:szCs w:val="24"/>
          <w:highlight w:val="none"/>
          <w:lang w:val="en-US" w:eastAsia="zh-CN" w:bidi="ar-SA"/>
        </w:rPr>
        <w:t>十、其他</w:t>
      </w:r>
    </w:p>
    <w:p>
      <w:pPr>
        <w:spacing w:line="440" w:lineRule="exact"/>
        <w:jc w:val="center"/>
        <w:rPr>
          <w:rFonts w:ascii="Times New Roman" w:hAnsi="Times New Roman" w:eastAsia="黑体" w:cs="Times New Roman"/>
          <w:sz w:val="20"/>
          <w:szCs w:val="20"/>
          <w:highlight w:val="none"/>
        </w:rPr>
      </w:pPr>
      <w:r>
        <w:rPr>
          <w:rFonts w:ascii="Times New Roman" w:hAnsi="Times New Roman" w:eastAsia="黑体" w:cs="Times New Roman"/>
          <w:sz w:val="20"/>
          <w:szCs w:val="20"/>
          <w:highlight w:val="none"/>
        </w:rPr>
        <w:br w:type="page"/>
      </w:r>
      <w:bookmarkStart w:id="105" w:name="_Toc1017_WPSOffice_Level1"/>
      <w:bookmarkStart w:id="106" w:name="_Toc1362_WPSOffice_Level1"/>
      <w:bookmarkStart w:id="107" w:name="_Toc3972_WPSOffice_Level1"/>
      <w:bookmarkStart w:id="108" w:name="_Toc2765_WPSOffice_Level1"/>
      <w:bookmarkStart w:id="109" w:name="_Toc18312_WPSOffice_Level1"/>
      <w:bookmarkStart w:id="110" w:name="_Toc1687_WPSOffice_Level1"/>
    </w:p>
    <w:p>
      <w:pPr>
        <w:spacing w:line="440" w:lineRule="exact"/>
        <w:jc w:val="center"/>
        <w:rPr>
          <w:rFonts w:ascii="Times New Roman" w:hAnsi="Times New Roman" w:eastAsia="黑体" w:cs="Times New Roman"/>
          <w:sz w:val="28"/>
          <w:szCs w:val="28"/>
          <w:highlight w:val="none"/>
        </w:rPr>
      </w:pPr>
      <w:r>
        <w:rPr>
          <w:rFonts w:hint="eastAsia" w:ascii="Times New Roman" w:hAnsi="Times New Roman" w:eastAsia="黑体" w:cs="Times New Roman"/>
          <w:sz w:val="28"/>
          <w:szCs w:val="28"/>
          <w:highlight w:val="none"/>
          <w:lang w:val="en-US" w:eastAsia="zh-CN"/>
        </w:rPr>
        <w:t>一</w:t>
      </w:r>
      <w:r>
        <w:rPr>
          <w:rFonts w:ascii="Times New Roman" w:hAnsi="Times New Roman" w:eastAsia="黑体" w:cs="Times New Roman"/>
          <w:sz w:val="28"/>
          <w:szCs w:val="28"/>
          <w:highlight w:val="none"/>
        </w:rPr>
        <w:t>、</w:t>
      </w:r>
      <w:r>
        <w:rPr>
          <w:rFonts w:hint="eastAsia" w:ascii="Times New Roman" w:hAnsi="Times New Roman" w:eastAsia="黑体" w:cs="Times New Roman"/>
          <w:sz w:val="28"/>
          <w:szCs w:val="28"/>
          <w:highlight w:val="none"/>
        </w:rPr>
        <w:t>响应函</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ascii="Times New Roman" w:hAnsi="Times New Roman" w:cs="Times New Roman"/>
          <w:sz w:val="24"/>
          <w:highlight w:val="none"/>
        </w:rPr>
        <w:t>采购人名称</w:t>
      </w:r>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cs="Times New Roman"/>
          <w:sz w:val="24"/>
          <w:highlight w:val="none"/>
        </w:rPr>
      </w:pPr>
      <w:r>
        <w:rPr>
          <w:rFonts w:hint="default" w:ascii="Times New Roman" w:hAnsi="Times New Roman" w:eastAsia="宋体" w:cs="Times New Roman"/>
          <w:sz w:val="24"/>
          <w:szCs w:val="24"/>
          <w:highlight w:val="none"/>
        </w:rPr>
        <w:t>1．</w:t>
      </w:r>
      <w:r>
        <w:rPr>
          <w:rFonts w:hint="eastAsia" w:ascii="宋体" w:hAnsi="宋体" w:eastAsia="宋体" w:cs="宋体"/>
          <w:sz w:val="24"/>
          <w:szCs w:val="24"/>
          <w:highlight w:val="none"/>
        </w:rPr>
        <w:t>我方已仔细研究了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（项目名称）招标文件的全部内容，愿意以报价文件中的投标总报价（或根据招标文件规定修正核实后确定的另一金额）提供</w:t>
      </w:r>
      <w:r>
        <w:rPr>
          <w:rFonts w:hint="eastAsia" w:ascii="Times New Roman" w:hAnsi="Times New Roman" w:cs="Times New Roman"/>
          <w:sz w:val="24"/>
          <w:highlight w:val="none"/>
          <w:lang w:val="en-US" w:eastAsia="zh-CN"/>
        </w:rPr>
        <w:t>提供招标文件要求的货物、技术服务和质保售后服务，并按合同约定履行义务</w:t>
      </w:r>
      <w:r>
        <w:rPr>
          <w:rFonts w:ascii="Times New Roman" w:hAnsi="Times New Roman" w:cs="Times New Roman"/>
          <w:sz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r>
        <w:rPr>
          <w:rFonts w:hint="default" w:ascii="Times New Roman" w:hAnsi="Times New Roman" w:eastAsia="宋体" w:cs="Times New Roman"/>
          <w:sz w:val="24"/>
          <w:szCs w:val="24"/>
          <w:highlight w:val="none"/>
        </w:rPr>
        <w:t>2．</w:t>
      </w:r>
      <w:r>
        <w:rPr>
          <w:rFonts w:hint="eastAsia" w:ascii="宋体" w:hAnsi="宋体" w:eastAsia="宋体" w:cs="宋体"/>
          <w:sz w:val="24"/>
          <w:szCs w:val="24"/>
          <w:highlight w:val="none"/>
        </w:rPr>
        <w:t>我方承诺响应招标文件的全部要求。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r>
        <w:rPr>
          <w:rFonts w:hint="eastAsia" w:ascii="Times New Roman" w:hAnsi="Times New Roman" w:eastAsia="宋体" w:cs="Times New Roman"/>
          <w:sz w:val="24"/>
          <w:szCs w:val="24"/>
          <w:highlight w:val="none"/>
        </w:rPr>
        <w:t>3．</w:t>
      </w:r>
      <w:r>
        <w:rPr>
          <w:rFonts w:hint="eastAsia" w:ascii="宋体" w:hAnsi="宋体" w:eastAsia="宋体" w:cs="宋体"/>
          <w:sz w:val="24"/>
          <w:szCs w:val="24"/>
          <w:highlight w:val="none"/>
        </w:rPr>
        <w:t>我方承诺在招标文件规定的投标有效期内不撤销投标文件。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r>
        <w:rPr>
          <w:rFonts w:hint="default" w:ascii="Times New Roman" w:hAnsi="Times New Roman" w:eastAsia="宋体" w:cs="Times New Roman"/>
          <w:sz w:val="24"/>
          <w:szCs w:val="24"/>
          <w:highlight w:val="none"/>
        </w:rPr>
        <w:t>4．</w:t>
      </w:r>
      <w:r>
        <w:rPr>
          <w:rFonts w:hint="eastAsia" w:ascii="宋体" w:hAnsi="宋体" w:eastAsia="宋体" w:cs="宋体"/>
          <w:sz w:val="24"/>
          <w:szCs w:val="24"/>
          <w:highlight w:val="none"/>
        </w:rPr>
        <w:t>如我方中标，我方承诺：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（1）在收到中标通知书后，在中标通知书规定的期限内与你方签订合同；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（2）在签订合同时不向你方提出附加条件；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（3）按照招标文件要求提交履约保证金</w:t>
      </w:r>
      <w:r>
        <w:rPr>
          <w:rFonts w:hint="eastAsia" w:ascii="宋体" w:hAnsi="宋体" w:eastAsia="宋体" w:cs="宋体"/>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（4）在合同约定的期限内完成合同规定的全部义务；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（5）在收到中标通知书后，在规定时间去勘察现场情况。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（6）我司承诺质保期</w:t>
      </w:r>
      <w:r>
        <w:rPr>
          <w:rFonts w:hint="eastAsia" w:ascii="宋体" w:hAnsi="宋体" w:eastAsia="宋体" w:cs="宋体"/>
          <w:b/>
          <w:bCs/>
          <w:sz w:val="24"/>
          <w:szCs w:val="24"/>
          <w:highlight w:val="none"/>
          <w:u w:val="single"/>
          <w:lang w:val="en-US" w:eastAsia="zh-CN"/>
        </w:rPr>
        <w:t xml:space="preserve">    </w:t>
      </w:r>
      <w:r>
        <w:rPr>
          <w:rFonts w:hint="eastAsia" w:ascii="宋体" w:hAnsi="宋体" w:eastAsia="宋体" w:cs="宋体"/>
          <w:b/>
          <w:bCs/>
          <w:sz w:val="24"/>
          <w:szCs w:val="24"/>
          <w:highlight w:val="none"/>
          <w:lang w:val="en-US" w:eastAsia="zh-CN"/>
        </w:rPr>
        <w:t>年，在免费质保期时间内提供免费上门服务，响应时间在</w:t>
      </w:r>
      <w:r>
        <w:rPr>
          <w:rFonts w:hint="eastAsia" w:ascii="宋体" w:hAnsi="宋体" w:eastAsia="宋体" w:cs="宋体"/>
          <w:b/>
          <w:bCs/>
          <w:sz w:val="24"/>
          <w:szCs w:val="24"/>
          <w:highlight w:val="none"/>
          <w:u w:val="single"/>
          <w:lang w:val="en-US" w:eastAsia="zh-CN"/>
        </w:rPr>
        <w:t xml:space="preserve">     </w:t>
      </w:r>
      <w:r>
        <w:rPr>
          <w:rFonts w:hint="eastAsia" w:ascii="宋体" w:hAnsi="宋体" w:eastAsia="宋体" w:cs="宋体"/>
          <w:b/>
          <w:bCs/>
          <w:sz w:val="24"/>
          <w:szCs w:val="24"/>
          <w:highlight w:val="none"/>
          <w:lang w:val="en-US" w:eastAsia="zh-CN"/>
        </w:rPr>
        <w:t>小时内（含）。</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r>
        <w:rPr>
          <w:rFonts w:hint="default" w:ascii="Times New Roman" w:hAnsi="Times New Roman" w:eastAsia="宋体" w:cs="Times New Roman"/>
          <w:sz w:val="24"/>
          <w:szCs w:val="24"/>
          <w:highlight w:val="none"/>
        </w:rPr>
        <w:t>5．</w:t>
      </w:r>
      <w:r>
        <w:rPr>
          <w:rFonts w:hint="eastAsia" w:ascii="宋体" w:hAnsi="宋体" w:eastAsia="宋体" w:cs="宋体"/>
          <w:sz w:val="24"/>
          <w:szCs w:val="24"/>
          <w:highlight w:val="none"/>
        </w:rPr>
        <w:t>我方在此声明，所递交的投标文件及有关资料内容完整、真实和准确。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r>
        <w:rPr>
          <w:rFonts w:hint="default" w:ascii="Times New Roman" w:hAnsi="Times New Roman" w:eastAsia="宋体" w:cs="Times New Roman"/>
          <w:sz w:val="24"/>
          <w:szCs w:val="24"/>
          <w:highlight w:val="none"/>
        </w:rPr>
        <w:t>6．</w:t>
      </w:r>
      <w:r>
        <w:rPr>
          <w:rFonts w:hint="eastAsia" w:ascii="宋体" w:hAnsi="宋体" w:eastAsia="宋体" w:cs="宋体"/>
          <w:sz w:val="24"/>
          <w:szCs w:val="24"/>
          <w:highlight w:val="none"/>
        </w:rPr>
        <w:t>在合同协议书正式签署生效之前，本</w:t>
      </w:r>
      <w:r>
        <w:rPr>
          <w:rFonts w:hint="eastAsia" w:ascii="宋体" w:hAnsi="宋体" w:eastAsia="宋体" w:cs="宋体"/>
          <w:sz w:val="24"/>
          <w:szCs w:val="24"/>
          <w:highlight w:val="none"/>
          <w:lang w:eastAsia="zh-CN"/>
        </w:rPr>
        <w:t>报价函</w:t>
      </w:r>
      <w:r>
        <w:rPr>
          <w:rFonts w:hint="eastAsia" w:ascii="宋体" w:hAnsi="宋体" w:eastAsia="宋体" w:cs="宋体"/>
          <w:sz w:val="24"/>
          <w:szCs w:val="24"/>
          <w:highlight w:val="none"/>
        </w:rPr>
        <w:t>连同你方的中标通知书将构成我们双方之间共同遵守的文件，对双方具有约束力。</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r>
        <w:rPr>
          <w:rFonts w:hint="default" w:ascii="Times New Roman" w:hAnsi="Times New Roman" w:eastAsia="宋体" w:cs="Times New Roman"/>
          <w:sz w:val="24"/>
          <w:szCs w:val="24"/>
          <w:highlight w:val="none"/>
        </w:rPr>
        <w:t>7．</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（其他补充说明）。</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firstLine="2160" w:firstLineChars="9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（盖单位章）</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法定代表人或其委托代理人：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pPr>
        <w:keepNext w:val="0"/>
        <w:keepLines w:val="0"/>
        <w:pageBreakBefore w:val="0"/>
        <w:widowControl w:val="0"/>
        <w:kinsoku/>
        <w:wordWrap/>
        <w:overflowPunct/>
        <w:topLinePunct w:val="0"/>
        <w:autoSpaceDE/>
        <w:autoSpaceDN/>
        <w:bidi w:val="0"/>
        <w:adjustRightInd/>
        <w:snapToGrid/>
        <w:spacing w:line="440" w:lineRule="exact"/>
        <w:ind w:firstLine="2160" w:firstLineChars="9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地  址</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2160" w:firstLineChars="9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  话：</w:t>
      </w:r>
      <w:r>
        <w:rPr>
          <w:rFonts w:hint="eastAsia" w:ascii="宋体" w:hAnsi="宋体" w:eastAsia="宋体" w:cs="宋体"/>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u w:val="none"/>
        </w:rPr>
        <w:t xml:space="preserve"> </w:t>
      </w:r>
      <w:r>
        <w:rPr>
          <w:rFonts w:hint="eastAsia" w:ascii="宋体" w:hAnsi="宋体" w:eastAsia="宋体" w:cs="宋体"/>
          <w:sz w:val="24"/>
          <w:szCs w:val="24"/>
          <w:highlight w:val="none"/>
          <w:u w:val="non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pPr>
        <w:spacing w:line="440" w:lineRule="exact"/>
        <w:jc w:val="center"/>
        <w:rPr>
          <w:rFonts w:ascii="Times New Roman" w:hAnsi="Times New Roman" w:eastAsia="黑体" w:cs="Times New Roman"/>
          <w:sz w:val="20"/>
          <w:szCs w:val="20"/>
          <w:highlight w:val="none"/>
        </w:rPr>
      </w:pPr>
    </w:p>
    <w:p>
      <w:pPr>
        <w:spacing w:line="440" w:lineRule="exact"/>
        <w:jc w:val="center"/>
        <w:rPr>
          <w:rFonts w:ascii="Times New Roman" w:hAnsi="Times New Roman" w:eastAsia="黑体" w:cs="Times New Roman"/>
          <w:sz w:val="20"/>
          <w:szCs w:val="20"/>
          <w:highlight w:val="none"/>
        </w:rPr>
      </w:pPr>
    </w:p>
    <w:p>
      <w:pPr>
        <w:pStyle w:val="20"/>
        <w:rPr>
          <w:highlight w:val="none"/>
        </w:rPr>
      </w:pPr>
    </w:p>
    <w:p>
      <w:pPr>
        <w:spacing w:line="440" w:lineRule="exact"/>
        <w:jc w:val="center"/>
        <w:rPr>
          <w:rFonts w:ascii="Times New Roman" w:hAnsi="Times New Roman" w:eastAsia="黑体" w:cs="Times New Roman"/>
          <w:sz w:val="20"/>
          <w:szCs w:val="20"/>
          <w:highlight w:val="none"/>
        </w:rPr>
      </w:pPr>
    </w:p>
    <w:p>
      <w:pPr>
        <w:pStyle w:val="7"/>
      </w:pPr>
    </w:p>
    <w:bookmarkEnd w:id="105"/>
    <w:bookmarkEnd w:id="106"/>
    <w:bookmarkEnd w:id="107"/>
    <w:bookmarkEnd w:id="108"/>
    <w:bookmarkEnd w:id="109"/>
    <w:bookmarkEnd w:id="110"/>
    <w:p>
      <w:pPr>
        <w:spacing w:line="440" w:lineRule="exact"/>
        <w:jc w:val="center"/>
        <w:rPr>
          <w:rFonts w:ascii="Times New Roman" w:hAnsi="Times New Roman" w:eastAsia="黑体" w:cs="Times New Roman"/>
          <w:sz w:val="28"/>
          <w:szCs w:val="28"/>
          <w:highlight w:val="none"/>
        </w:rPr>
      </w:pPr>
      <w:bookmarkStart w:id="111" w:name="_Toc32350_WPSOffice_Level1"/>
      <w:bookmarkStart w:id="112" w:name="_Toc1996_WPSOffice_Level1"/>
      <w:bookmarkStart w:id="113" w:name="_Toc4951_WPSOffice_Level1"/>
      <w:bookmarkStart w:id="114" w:name="_Toc21740_WPSOffice_Level1"/>
      <w:bookmarkStart w:id="115" w:name="_Toc14563_WPSOffice_Level1"/>
      <w:bookmarkStart w:id="116" w:name="_Toc18668_WPSOffice_Level1"/>
      <w:r>
        <w:rPr>
          <w:rFonts w:ascii="Times New Roman" w:hAnsi="Times New Roman" w:eastAsia="黑体" w:cs="Times New Roman"/>
          <w:sz w:val="28"/>
          <w:szCs w:val="28"/>
          <w:highlight w:val="none"/>
        </w:rPr>
        <w:t>二、法定代表人身份证明及授权委托书</w:t>
      </w:r>
      <w:bookmarkEnd w:id="111"/>
      <w:bookmarkEnd w:id="112"/>
      <w:bookmarkEnd w:id="113"/>
      <w:bookmarkEnd w:id="114"/>
      <w:bookmarkEnd w:id="115"/>
      <w:bookmarkEnd w:id="116"/>
    </w:p>
    <w:p>
      <w:pPr>
        <w:spacing w:line="440" w:lineRule="exact"/>
        <w:jc w:val="center"/>
        <w:rPr>
          <w:rFonts w:ascii="Times New Roman" w:hAnsi="Times New Roman" w:cs="Times New Roman"/>
          <w:sz w:val="28"/>
          <w:szCs w:val="28"/>
          <w:highlight w:val="none"/>
        </w:rPr>
      </w:pPr>
      <w:bookmarkStart w:id="117" w:name="_Toc5153_WPSOffice_Level2"/>
      <w:bookmarkStart w:id="118" w:name="_Toc20803_WPSOffice_Level2"/>
      <w:r>
        <w:rPr>
          <w:rFonts w:ascii="Times New Roman" w:hAnsi="Times New Roman" w:eastAsia="黑体" w:cs="Times New Roman"/>
          <w:bCs/>
          <w:sz w:val="28"/>
          <w:szCs w:val="28"/>
          <w:highlight w:val="none"/>
        </w:rPr>
        <w:t>2-1 法定代表人身份证明</w:t>
      </w:r>
      <w:bookmarkEnd w:id="117"/>
      <w:bookmarkEnd w:id="118"/>
    </w:p>
    <w:p>
      <w:pPr>
        <w:spacing w:line="440" w:lineRule="exact"/>
        <w:rPr>
          <w:rFonts w:ascii="Times New Roman" w:hAnsi="Times New Roman" w:cs="Times New Roman"/>
          <w:sz w:val="20"/>
          <w:szCs w:val="20"/>
          <w:highlight w:val="none"/>
        </w:rPr>
      </w:pPr>
    </w:p>
    <w:p>
      <w:pPr>
        <w:spacing w:line="440" w:lineRule="exac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供应商名称：</w:t>
      </w:r>
      <w:r>
        <w:rPr>
          <w:rFonts w:hint="eastAsia" w:asciiTheme="minorEastAsia" w:hAnsiTheme="minorEastAsia" w:eastAsiaTheme="minorEastAsia" w:cstheme="minorEastAsia"/>
          <w:sz w:val="24"/>
          <w:highlight w:val="none"/>
          <w:u w:val="single"/>
        </w:rPr>
        <w:t xml:space="preserve">                            </w:t>
      </w:r>
      <w:r>
        <w:rPr>
          <w:rFonts w:hint="eastAsia" w:asciiTheme="minorEastAsia" w:hAnsiTheme="minorEastAsia" w:eastAsiaTheme="minorEastAsia" w:cstheme="minorEastAsia"/>
          <w:sz w:val="24"/>
          <w:highlight w:val="none"/>
        </w:rPr>
        <w:t xml:space="preserve"> </w:t>
      </w:r>
    </w:p>
    <w:p>
      <w:pPr>
        <w:spacing w:line="440" w:lineRule="exac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单位性质：</w:t>
      </w:r>
      <w:r>
        <w:rPr>
          <w:rFonts w:hint="eastAsia" w:asciiTheme="minorEastAsia" w:hAnsiTheme="minorEastAsia" w:eastAsiaTheme="minorEastAsia" w:cstheme="minorEastAsia"/>
          <w:sz w:val="24"/>
          <w:highlight w:val="none"/>
          <w:u w:val="single"/>
        </w:rPr>
        <w:t xml:space="preserve">                               </w:t>
      </w:r>
      <w:r>
        <w:rPr>
          <w:rFonts w:hint="eastAsia" w:asciiTheme="minorEastAsia" w:hAnsiTheme="minorEastAsia" w:eastAsiaTheme="minorEastAsia" w:cstheme="minorEastAsia"/>
          <w:sz w:val="24"/>
          <w:highlight w:val="none"/>
        </w:rPr>
        <w:t xml:space="preserve"> </w:t>
      </w:r>
    </w:p>
    <w:p>
      <w:pPr>
        <w:spacing w:line="440" w:lineRule="exac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地址：</w:t>
      </w:r>
      <w:r>
        <w:rPr>
          <w:rFonts w:hint="eastAsia" w:asciiTheme="minorEastAsia" w:hAnsiTheme="minorEastAsia" w:eastAsiaTheme="minorEastAsia" w:cstheme="minorEastAsia"/>
          <w:sz w:val="24"/>
          <w:highlight w:val="none"/>
          <w:u w:val="single"/>
        </w:rPr>
        <w:t xml:space="preserve">                                   </w:t>
      </w:r>
    </w:p>
    <w:p>
      <w:pPr>
        <w:spacing w:line="440" w:lineRule="exac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成立时间：</w:t>
      </w:r>
      <w:r>
        <w:rPr>
          <w:rFonts w:hint="eastAsia" w:asciiTheme="minorEastAsia" w:hAnsiTheme="minorEastAsia" w:eastAsiaTheme="minorEastAsia" w:cstheme="minorEastAsia"/>
          <w:sz w:val="24"/>
          <w:highlight w:val="none"/>
          <w:u w:val="single"/>
        </w:rPr>
        <w:t xml:space="preserve">         </w:t>
      </w:r>
      <w:r>
        <w:rPr>
          <w:rFonts w:hint="eastAsia" w:asciiTheme="minorEastAsia" w:hAnsiTheme="minorEastAsia" w:eastAsiaTheme="minorEastAsia" w:cstheme="minorEastAsia"/>
          <w:sz w:val="24"/>
          <w:highlight w:val="none"/>
        </w:rPr>
        <w:t xml:space="preserve"> 年</w:t>
      </w:r>
      <w:r>
        <w:rPr>
          <w:rFonts w:hint="eastAsia" w:asciiTheme="minorEastAsia" w:hAnsiTheme="minorEastAsia" w:eastAsiaTheme="minorEastAsia" w:cstheme="minorEastAsia"/>
          <w:sz w:val="24"/>
          <w:highlight w:val="none"/>
          <w:u w:val="single"/>
        </w:rPr>
        <w:t xml:space="preserve">       </w:t>
      </w:r>
      <w:r>
        <w:rPr>
          <w:rFonts w:hint="eastAsia" w:asciiTheme="minorEastAsia" w:hAnsiTheme="minorEastAsia" w:eastAsiaTheme="minorEastAsia" w:cstheme="minorEastAsia"/>
          <w:sz w:val="24"/>
          <w:highlight w:val="none"/>
        </w:rPr>
        <w:t xml:space="preserve"> 月</w:t>
      </w:r>
      <w:r>
        <w:rPr>
          <w:rFonts w:hint="eastAsia" w:asciiTheme="minorEastAsia" w:hAnsiTheme="minorEastAsia" w:eastAsiaTheme="minorEastAsia" w:cstheme="minorEastAsia"/>
          <w:sz w:val="24"/>
          <w:highlight w:val="none"/>
          <w:u w:val="single"/>
        </w:rPr>
        <w:t xml:space="preserve">       </w:t>
      </w:r>
      <w:r>
        <w:rPr>
          <w:rFonts w:hint="eastAsia" w:asciiTheme="minorEastAsia" w:hAnsiTheme="minorEastAsia" w:eastAsiaTheme="minorEastAsia" w:cstheme="minorEastAsia"/>
          <w:sz w:val="24"/>
          <w:highlight w:val="none"/>
        </w:rPr>
        <w:t xml:space="preserve"> 日</w:t>
      </w:r>
    </w:p>
    <w:p>
      <w:pPr>
        <w:spacing w:line="440" w:lineRule="exac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经营期限：</w:t>
      </w:r>
      <w:r>
        <w:rPr>
          <w:rFonts w:hint="eastAsia" w:asciiTheme="minorEastAsia" w:hAnsiTheme="minorEastAsia" w:eastAsiaTheme="minorEastAsia" w:cstheme="minorEastAsia"/>
          <w:sz w:val="24"/>
          <w:highlight w:val="none"/>
          <w:u w:val="single"/>
        </w:rPr>
        <w:t xml:space="preserve">                               </w:t>
      </w:r>
    </w:p>
    <w:p>
      <w:pPr>
        <w:spacing w:line="440" w:lineRule="exac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姓名：</w:t>
      </w:r>
      <w:r>
        <w:rPr>
          <w:rFonts w:hint="eastAsia" w:asciiTheme="minorEastAsia" w:hAnsiTheme="minorEastAsia" w:eastAsiaTheme="minorEastAsia" w:cstheme="minorEastAsia"/>
          <w:sz w:val="24"/>
          <w:highlight w:val="none"/>
          <w:u w:val="single"/>
        </w:rPr>
        <w:t xml:space="preserve">  </w:t>
      </w:r>
      <w:r>
        <w:rPr>
          <w:rFonts w:hint="eastAsia" w:asciiTheme="minorEastAsia" w:hAnsiTheme="minorEastAsia" w:eastAsiaTheme="minorEastAsia" w:cstheme="minorEastAsia"/>
          <w:bCs/>
          <w:sz w:val="24"/>
          <w:highlight w:val="none"/>
          <w:u w:val="single"/>
        </w:rPr>
        <w:t xml:space="preserve">                </w:t>
      </w:r>
      <w:r>
        <w:rPr>
          <w:rFonts w:hint="eastAsia" w:asciiTheme="minorEastAsia" w:hAnsiTheme="minorEastAsia" w:eastAsiaTheme="minorEastAsia" w:cstheme="minorEastAsia"/>
          <w:sz w:val="24"/>
          <w:highlight w:val="none"/>
        </w:rPr>
        <w:t xml:space="preserve"> 性别：</w:t>
      </w:r>
      <w:r>
        <w:rPr>
          <w:rFonts w:hint="eastAsia" w:asciiTheme="minorEastAsia" w:hAnsiTheme="minorEastAsia" w:eastAsiaTheme="minorEastAsia" w:cstheme="minorEastAsia"/>
          <w:sz w:val="24"/>
          <w:highlight w:val="none"/>
          <w:u w:val="single"/>
        </w:rPr>
        <w:t xml:space="preserve">     </w:t>
      </w:r>
      <w:r>
        <w:rPr>
          <w:rFonts w:hint="eastAsia" w:asciiTheme="minorEastAsia" w:hAnsiTheme="minorEastAsia" w:eastAsiaTheme="minorEastAsia" w:cstheme="minorEastAsia"/>
          <w:sz w:val="24"/>
          <w:highlight w:val="none"/>
        </w:rPr>
        <w:t xml:space="preserve"> 年龄：</w:t>
      </w:r>
      <w:r>
        <w:rPr>
          <w:rFonts w:hint="eastAsia" w:asciiTheme="minorEastAsia" w:hAnsiTheme="minorEastAsia" w:eastAsiaTheme="minorEastAsia" w:cstheme="minorEastAsia"/>
          <w:sz w:val="24"/>
          <w:highlight w:val="none"/>
          <w:u w:val="single"/>
        </w:rPr>
        <w:t xml:space="preserve">        </w:t>
      </w:r>
      <w:r>
        <w:rPr>
          <w:rFonts w:hint="eastAsia" w:asciiTheme="minorEastAsia" w:hAnsiTheme="minorEastAsia" w:eastAsiaTheme="minorEastAsia" w:cstheme="minorEastAsia"/>
          <w:sz w:val="24"/>
          <w:highlight w:val="none"/>
        </w:rPr>
        <w:t>职务：</w:t>
      </w:r>
      <w:r>
        <w:rPr>
          <w:rFonts w:hint="eastAsia" w:asciiTheme="minorEastAsia" w:hAnsiTheme="minorEastAsia" w:eastAsiaTheme="minorEastAsia" w:cstheme="minorEastAsia"/>
          <w:sz w:val="24"/>
          <w:highlight w:val="none"/>
          <w:u w:val="single"/>
        </w:rPr>
        <w:t xml:space="preserve">        </w:t>
      </w:r>
    </w:p>
    <w:p>
      <w:pPr>
        <w:spacing w:line="440" w:lineRule="exac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系</w:t>
      </w:r>
      <w:r>
        <w:rPr>
          <w:rFonts w:hint="eastAsia" w:asciiTheme="minorEastAsia" w:hAnsiTheme="minorEastAsia" w:eastAsiaTheme="minorEastAsia" w:cstheme="minorEastAsia"/>
          <w:sz w:val="24"/>
          <w:highlight w:val="none"/>
          <w:u w:val="single"/>
        </w:rPr>
        <w:t xml:space="preserve">                             </w:t>
      </w:r>
      <w:r>
        <w:rPr>
          <w:rFonts w:hint="eastAsia" w:asciiTheme="minorEastAsia" w:hAnsiTheme="minorEastAsia" w:eastAsiaTheme="minorEastAsia" w:cstheme="minorEastAsia"/>
          <w:sz w:val="24"/>
          <w:highlight w:val="none"/>
        </w:rPr>
        <w:t xml:space="preserve"> (供应商名称)的法定代表人。</w:t>
      </w:r>
    </w:p>
    <w:p>
      <w:pPr>
        <w:spacing w:line="440" w:lineRule="exact"/>
        <w:ind w:firstLine="480" w:firstLineChars="200"/>
        <w:rPr>
          <w:rFonts w:hint="eastAsia" w:asciiTheme="minorEastAsia" w:hAnsiTheme="minorEastAsia" w:eastAsiaTheme="minorEastAsia" w:cstheme="minorEastAsia"/>
          <w:b/>
          <w:bCs/>
          <w:sz w:val="24"/>
          <w:highlight w:val="none"/>
        </w:rPr>
      </w:pPr>
      <w:r>
        <w:rPr>
          <w:rFonts w:hint="eastAsia" w:asciiTheme="minorEastAsia" w:hAnsiTheme="minorEastAsia" w:eastAsiaTheme="minorEastAsia" w:cstheme="minorEastAsia"/>
          <w:b/>
          <w:bCs/>
          <w:sz w:val="24"/>
          <w:highlight w:val="none"/>
        </w:rPr>
        <w:t>附：法定代表人身份证正反面复印件</w:t>
      </w:r>
    </w:p>
    <w:p>
      <w:pPr>
        <w:spacing w:line="440" w:lineRule="exact"/>
        <w:ind w:firstLine="480" w:firstLineChars="200"/>
        <w:rPr>
          <w:rFonts w:ascii="Times New Roman" w:hAnsi="Times New Roman" w:cs="Times New Roman"/>
          <w:sz w:val="24"/>
          <w:highlight w:val="none"/>
        </w:rPr>
      </w:pPr>
    </w:p>
    <w:p>
      <w:pPr>
        <w:spacing w:line="44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特此证明。</w:t>
      </w:r>
    </w:p>
    <w:p>
      <w:pPr>
        <w:spacing w:line="440" w:lineRule="exact"/>
        <w:rPr>
          <w:rFonts w:ascii="Times New Roman" w:hAnsi="Times New Roman" w:cs="Times New Roman"/>
          <w:sz w:val="24"/>
          <w:highlight w:val="none"/>
        </w:rPr>
      </w:pPr>
    </w:p>
    <w:p>
      <w:pPr>
        <w:spacing w:line="440" w:lineRule="exact"/>
        <w:rPr>
          <w:rFonts w:ascii="Times New Roman" w:hAnsi="Times New Roman" w:cs="Times New Roman"/>
          <w:sz w:val="24"/>
          <w:highlight w:val="none"/>
        </w:rPr>
      </w:pPr>
    </w:p>
    <w:p>
      <w:pPr>
        <w:spacing w:line="440" w:lineRule="exact"/>
        <w:rPr>
          <w:rFonts w:hint="eastAsia" w:ascii="宋体" w:hAnsi="宋体" w:eastAsia="宋体" w:cs="宋体"/>
          <w:sz w:val="24"/>
          <w:highlight w:val="none"/>
        </w:rPr>
      </w:pPr>
      <w:r>
        <w:rPr>
          <w:rFonts w:ascii="Times New Roman" w:hAnsi="Times New Roman" w:cs="Times New Roman"/>
          <w:sz w:val="24"/>
          <w:highlight w:val="none"/>
        </w:rPr>
        <w:t xml:space="preserve">                         </w:t>
      </w:r>
      <w:r>
        <w:rPr>
          <w:rFonts w:hint="eastAsia" w:ascii="宋体" w:hAnsi="宋体" w:eastAsia="宋体" w:cs="宋体"/>
          <w:sz w:val="24"/>
          <w:highlight w:val="none"/>
        </w:rPr>
        <w:t xml:space="preserve"> 供应商：</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spacing w:line="440" w:lineRule="exact"/>
        <w:rPr>
          <w:rFonts w:ascii="Times New Roman" w:hAnsi="Times New Roman" w:cs="Times New Roman"/>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日  </w:t>
      </w:r>
      <w:r>
        <w:rPr>
          <w:rFonts w:ascii="Times New Roman" w:hAnsi="Times New Roman" w:cs="Times New Roman"/>
          <w:sz w:val="24"/>
          <w:highlight w:val="none"/>
        </w:rPr>
        <w:t xml:space="preserve">         </w:t>
      </w:r>
    </w:p>
    <w:p>
      <w:pPr>
        <w:topLinePunct/>
        <w:spacing w:line="440" w:lineRule="exact"/>
        <w:rPr>
          <w:rFonts w:ascii="Times New Roman" w:hAnsi="Times New Roman" w:eastAsia="黑体" w:cs="Times New Roman"/>
          <w:sz w:val="24"/>
          <w:highlight w:val="none"/>
        </w:rPr>
      </w:pPr>
    </w:p>
    <w:p>
      <w:pPr>
        <w:topLinePunct/>
        <w:spacing w:line="440" w:lineRule="exact"/>
        <w:rPr>
          <w:rFonts w:ascii="Times New Roman" w:hAnsi="Times New Roman" w:eastAsia="黑体" w:cs="Times New Roman"/>
          <w:sz w:val="24"/>
          <w:highlight w:val="none"/>
        </w:rPr>
      </w:pPr>
    </w:p>
    <w:p>
      <w:pPr>
        <w:topLinePunct/>
        <w:spacing w:line="440" w:lineRule="exact"/>
        <w:rPr>
          <w:rFonts w:ascii="Times New Roman" w:hAnsi="Times New Roman" w:eastAsia="黑体" w:cs="Times New Roman"/>
          <w:sz w:val="24"/>
          <w:highlight w:val="none"/>
        </w:rPr>
      </w:pPr>
    </w:p>
    <w:p>
      <w:pPr>
        <w:topLinePunct/>
        <w:spacing w:line="440" w:lineRule="exact"/>
        <w:rPr>
          <w:rFonts w:ascii="Times New Roman" w:hAnsi="Times New Roman" w:eastAsia="黑体" w:cs="Times New Roman"/>
          <w:sz w:val="24"/>
          <w:highlight w:val="none"/>
        </w:rPr>
      </w:pPr>
    </w:p>
    <w:p>
      <w:pPr>
        <w:topLinePunct/>
        <w:spacing w:line="440" w:lineRule="exact"/>
        <w:rPr>
          <w:rFonts w:ascii="Times New Roman" w:hAnsi="Times New Roman" w:eastAsia="黑体" w:cs="Times New Roman"/>
          <w:sz w:val="24"/>
          <w:highlight w:val="none"/>
        </w:rPr>
      </w:pPr>
    </w:p>
    <w:p>
      <w:pPr>
        <w:topLinePunct/>
        <w:spacing w:line="440" w:lineRule="exact"/>
        <w:ind w:left="315" w:hanging="315" w:hangingChars="150"/>
        <w:rPr>
          <w:rFonts w:ascii="Times New Roman" w:hAnsi="Times New Roman" w:eastAsia="黑体" w:cs="Times New Roman"/>
          <w:szCs w:val="21"/>
          <w:highlight w:val="none"/>
        </w:rPr>
      </w:pPr>
    </w:p>
    <w:p>
      <w:pPr>
        <w:topLinePunct/>
        <w:spacing w:line="440" w:lineRule="exact"/>
        <w:ind w:left="315" w:hanging="315" w:hangingChars="150"/>
        <w:rPr>
          <w:rFonts w:ascii="Times New Roman" w:hAnsi="Times New Roman" w:eastAsia="黑体" w:cs="Times New Roman"/>
          <w:bCs/>
          <w:szCs w:val="21"/>
          <w:highlight w:val="none"/>
        </w:rPr>
      </w:pPr>
    </w:p>
    <w:p>
      <w:pPr>
        <w:spacing w:line="440" w:lineRule="exact"/>
        <w:jc w:val="center"/>
        <w:rPr>
          <w:rFonts w:hint="eastAsia" w:ascii="Times New Roman" w:hAnsi="Times New Roman" w:cs="Times New Roman" w:eastAsiaTheme="minorEastAsia"/>
          <w:sz w:val="28"/>
          <w:szCs w:val="28"/>
          <w:highlight w:val="none"/>
          <w:lang w:eastAsia="zh-CN"/>
        </w:rPr>
      </w:pPr>
      <w:r>
        <w:rPr>
          <w:rFonts w:ascii="Times New Roman" w:hAnsi="Times New Roman" w:eastAsia="黑体" w:cs="Times New Roman"/>
          <w:sz w:val="24"/>
          <w:highlight w:val="none"/>
        </w:rPr>
        <w:br w:type="page"/>
      </w:r>
      <w:bookmarkStart w:id="119" w:name="_Toc12035_WPSOffice_Level2"/>
      <w:bookmarkStart w:id="120" w:name="_Toc19768_WPSOffice_Level2"/>
      <w:r>
        <w:rPr>
          <w:rFonts w:ascii="Times New Roman" w:hAnsi="Times New Roman" w:eastAsia="黑体" w:cs="Times New Roman"/>
          <w:bCs/>
          <w:sz w:val="28"/>
          <w:szCs w:val="28"/>
          <w:highlight w:val="none"/>
        </w:rPr>
        <w:t xml:space="preserve">2-2 </w:t>
      </w:r>
      <w:r>
        <w:rPr>
          <w:rFonts w:ascii="Times New Roman" w:hAnsi="Times New Roman" w:eastAsia="黑体" w:cs="Times New Roman"/>
          <w:sz w:val="28"/>
          <w:szCs w:val="28"/>
          <w:highlight w:val="none"/>
        </w:rPr>
        <w:t>授权委托书</w:t>
      </w:r>
      <w:bookmarkEnd w:id="119"/>
      <w:bookmarkEnd w:id="120"/>
    </w:p>
    <w:p>
      <w:pPr>
        <w:spacing w:line="440" w:lineRule="exact"/>
        <w:rPr>
          <w:rFonts w:ascii="Times New Roman" w:hAnsi="Times New Roman" w:eastAsia="黑体" w:cs="Times New Roman"/>
          <w:sz w:val="24"/>
          <w:highlight w:val="none"/>
        </w:rPr>
      </w:pPr>
    </w:p>
    <w:p>
      <w:pPr>
        <w:topLinePunct/>
        <w:spacing w:line="44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本人</w:t>
      </w:r>
      <w:r>
        <w:rPr>
          <w:rFonts w:ascii="Times New Roman" w:hAnsi="Times New Roman" w:cs="Times New Roman"/>
          <w:sz w:val="24"/>
          <w:highlight w:val="none"/>
          <w:u w:val="single"/>
        </w:rPr>
        <w:t xml:space="preserve">             </w:t>
      </w:r>
      <w:r>
        <w:rPr>
          <w:rFonts w:ascii="Times New Roman" w:hAnsi="Times New Roman" w:cs="Times New Roman"/>
          <w:sz w:val="24"/>
          <w:highlight w:val="none"/>
        </w:rPr>
        <w:t>(姓名)系</w:t>
      </w:r>
      <w:r>
        <w:rPr>
          <w:rFonts w:ascii="Times New Roman" w:hAnsi="Times New Roman" w:cs="Times New Roman"/>
          <w:sz w:val="24"/>
          <w:highlight w:val="none"/>
          <w:u w:val="single"/>
        </w:rPr>
        <w:t xml:space="preserve">          </w:t>
      </w:r>
      <w:r>
        <w:rPr>
          <w:rFonts w:ascii="Times New Roman" w:hAnsi="Times New Roman" w:cs="Times New Roman"/>
          <w:sz w:val="24"/>
          <w:highlight w:val="none"/>
        </w:rPr>
        <w:t>(供应商名称)的法定代表人，现委托</w:t>
      </w:r>
      <w:r>
        <w:rPr>
          <w:rFonts w:ascii="Times New Roman" w:hAnsi="Times New Roman" w:cs="Times New Roman"/>
          <w:sz w:val="24"/>
          <w:highlight w:val="none"/>
          <w:u w:val="single"/>
        </w:rPr>
        <w:t xml:space="preserve">        </w:t>
      </w:r>
      <w:r>
        <w:rPr>
          <w:rFonts w:ascii="Times New Roman" w:hAnsi="Times New Roman" w:cs="Times New Roman"/>
          <w:sz w:val="24"/>
          <w:highlight w:val="none"/>
        </w:rPr>
        <w:t>(姓名)为我方代理人。代理人根据授权，以我方名义签署、澄清、说明、补正、递交、撤回、修改</w:t>
      </w:r>
      <w:r>
        <w:rPr>
          <w:rFonts w:ascii="Times New Roman" w:hAnsi="Times New Roman" w:cs="Times New Roman"/>
          <w:sz w:val="24"/>
          <w:highlight w:val="none"/>
          <w:u w:val="single"/>
        </w:rPr>
        <w:t xml:space="preserve">                     </w:t>
      </w:r>
      <w:r>
        <w:rPr>
          <w:rFonts w:ascii="Times New Roman" w:hAnsi="Times New Roman" w:cs="Times New Roman"/>
          <w:sz w:val="24"/>
          <w:highlight w:val="none"/>
        </w:rPr>
        <w:t>(项目名称)响应文件、签订合同和处理有关事宜，其法律后果由我方承担。</w:t>
      </w:r>
    </w:p>
    <w:p>
      <w:pPr>
        <w:spacing w:line="440" w:lineRule="exact"/>
        <w:rPr>
          <w:rFonts w:ascii="Times New Roman" w:hAnsi="Times New Roman" w:cs="Times New Roman"/>
          <w:sz w:val="24"/>
          <w:highlight w:val="none"/>
        </w:rPr>
      </w:pPr>
      <w:r>
        <w:rPr>
          <w:rFonts w:ascii="Times New Roman" w:hAnsi="Times New Roman" w:cs="Times New Roman"/>
          <w:sz w:val="24"/>
          <w:highlight w:val="none"/>
        </w:rPr>
        <w:t xml:space="preserve">    委托期限：</w:t>
      </w:r>
      <w:r>
        <w:rPr>
          <w:rFonts w:ascii="Times New Roman" w:hAnsi="Times New Roman" w:cs="Times New Roman"/>
          <w:sz w:val="24"/>
          <w:highlight w:val="none"/>
          <w:u w:val="single"/>
        </w:rPr>
        <w:t>自授权委托之日起至签订合同之日止</w:t>
      </w:r>
      <w:r>
        <w:rPr>
          <w:rFonts w:ascii="Times New Roman" w:hAnsi="Times New Roman" w:cs="Times New Roman"/>
          <w:sz w:val="24"/>
          <w:highlight w:val="none"/>
        </w:rPr>
        <w:t>。</w:t>
      </w:r>
    </w:p>
    <w:p>
      <w:pPr>
        <w:spacing w:line="44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代理人无转委托权。</w:t>
      </w:r>
    </w:p>
    <w:p>
      <w:pPr>
        <w:spacing w:line="440" w:lineRule="exact"/>
        <w:ind w:firstLine="480" w:firstLineChars="200"/>
        <w:rPr>
          <w:rFonts w:ascii="Times New Roman" w:hAnsi="Times New Roman" w:cs="Times New Roman"/>
          <w:b/>
          <w:bCs/>
          <w:sz w:val="24"/>
          <w:highlight w:val="none"/>
        </w:rPr>
      </w:pPr>
      <w:r>
        <w:rPr>
          <w:rFonts w:ascii="Times New Roman" w:hAnsi="Times New Roman" w:cs="Times New Roman"/>
          <w:b/>
          <w:bCs/>
          <w:sz w:val="24"/>
          <w:highlight w:val="none"/>
        </w:rPr>
        <w:t>附：法定代表人身份证明</w:t>
      </w:r>
      <w:r>
        <w:rPr>
          <w:rFonts w:hint="eastAsia" w:ascii="Times New Roman" w:hAnsi="Times New Roman" w:cs="Times New Roman"/>
          <w:b/>
          <w:bCs/>
          <w:sz w:val="24"/>
          <w:highlight w:val="none"/>
        </w:rPr>
        <w:t>、委托代理人的身份证正反面复印件</w:t>
      </w:r>
    </w:p>
    <w:p>
      <w:pPr>
        <w:spacing w:line="440" w:lineRule="exact"/>
        <w:ind w:firstLine="480" w:firstLineChars="200"/>
        <w:rPr>
          <w:rFonts w:ascii="Times New Roman" w:hAnsi="Times New Roman" w:cs="Times New Roman"/>
          <w:sz w:val="24"/>
          <w:highlight w:val="none"/>
        </w:rPr>
      </w:pPr>
    </w:p>
    <w:p>
      <w:pPr>
        <w:spacing w:line="440" w:lineRule="exact"/>
        <w:rPr>
          <w:rFonts w:ascii="Times New Roman" w:hAnsi="Times New Roman" w:cs="Times New Roman"/>
          <w:sz w:val="24"/>
          <w:highlight w:val="none"/>
        </w:rPr>
      </w:pPr>
    </w:p>
    <w:p>
      <w:pPr>
        <w:spacing w:line="440" w:lineRule="exact"/>
        <w:rPr>
          <w:rFonts w:hint="eastAsia" w:asciiTheme="minorEastAsia" w:hAnsiTheme="minorEastAsia" w:eastAsiaTheme="minorEastAsia" w:cstheme="minorEastAsia"/>
          <w:sz w:val="24"/>
          <w:highlight w:val="none"/>
        </w:rPr>
      </w:pPr>
      <w:r>
        <w:rPr>
          <w:rFonts w:ascii="Times New Roman" w:hAnsi="Times New Roman" w:cs="Times New Roman"/>
          <w:sz w:val="24"/>
          <w:highlight w:val="none"/>
        </w:rPr>
        <w:t>供应商：</w:t>
      </w:r>
      <w:r>
        <w:rPr>
          <w:rFonts w:ascii="Times New Roman" w:hAnsi="Times New Roman" w:cs="Times New Roman"/>
          <w:sz w:val="24"/>
          <w:highlight w:val="none"/>
          <w:u w:val="single"/>
        </w:rPr>
        <w:t xml:space="preserve">                               </w:t>
      </w:r>
      <w:r>
        <w:rPr>
          <w:rFonts w:hint="eastAsia" w:asciiTheme="minorEastAsia" w:hAnsiTheme="minorEastAsia" w:eastAsiaTheme="minorEastAsia" w:cstheme="minorEastAsia"/>
          <w:sz w:val="24"/>
          <w:highlight w:val="none"/>
        </w:rPr>
        <w:t>(盖单位章)</w:t>
      </w:r>
    </w:p>
    <w:p>
      <w:pPr>
        <w:spacing w:line="440" w:lineRule="exact"/>
        <w:rPr>
          <w:rFonts w:ascii="Times New Roman" w:hAnsi="Times New Roman" w:cs="Times New Roman"/>
          <w:sz w:val="24"/>
          <w:highlight w:val="none"/>
        </w:rPr>
      </w:pPr>
    </w:p>
    <w:p>
      <w:pPr>
        <w:spacing w:line="440" w:lineRule="exact"/>
        <w:rPr>
          <w:rFonts w:ascii="Times New Roman" w:hAnsi="Times New Roman" w:cs="Times New Roman"/>
          <w:sz w:val="24"/>
          <w:highlight w:val="none"/>
        </w:rPr>
      </w:pPr>
      <w:r>
        <w:rPr>
          <w:rFonts w:ascii="Times New Roman" w:hAnsi="Times New Roman" w:cs="Times New Roman"/>
          <w:sz w:val="24"/>
          <w:highlight w:val="none"/>
        </w:rPr>
        <w:t>法定代表人：</w:t>
      </w:r>
      <w:r>
        <w:rPr>
          <w:rFonts w:ascii="Times New Roman" w:hAnsi="Times New Roman" w:cs="Times New Roman"/>
          <w:sz w:val="24"/>
          <w:highlight w:val="none"/>
          <w:u w:val="single"/>
        </w:rPr>
        <w:t xml:space="preserve">                         </w:t>
      </w:r>
      <w:r>
        <w:rPr>
          <w:rFonts w:hint="eastAsia" w:ascii="宋体" w:hAnsi="宋体" w:eastAsia="宋体" w:cs="宋体"/>
          <w:sz w:val="24"/>
          <w:szCs w:val="24"/>
          <w:highlight w:val="none"/>
        </w:rPr>
        <w:t>（签字或盖章）</w:t>
      </w:r>
    </w:p>
    <w:p>
      <w:pPr>
        <w:spacing w:line="440" w:lineRule="exact"/>
        <w:rPr>
          <w:rFonts w:ascii="Times New Roman" w:hAnsi="Times New Roman" w:cs="Times New Roman"/>
          <w:sz w:val="24"/>
          <w:highlight w:val="none"/>
        </w:rPr>
      </w:pPr>
    </w:p>
    <w:p>
      <w:pPr>
        <w:spacing w:line="440" w:lineRule="exact"/>
        <w:rPr>
          <w:rFonts w:ascii="Times New Roman" w:hAnsi="Times New Roman" w:cs="Times New Roman"/>
          <w:sz w:val="24"/>
          <w:highlight w:val="none"/>
        </w:rPr>
      </w:pPr>
      <w:r>
        <w:rPr>
          <w:rFonts w:ascii="Times New Roman" w:hAnsi="Times New Roman" w:cs="Times New Roman"/>
          <w:sz w:val="24"/>
          <w:highlight w:val="none"/>
        </w:rPr>
        <w:t>身份证号码：</w:t>
      </w:r>
      <w:r>
        <w:rPr>
          <w:rFonts w:ascii="Times New Roman" w:hAnsi="Times New Roman" w:cs="Times New Roman"/>
          <w:sz w:val="24"/>
          <w:highlight w:val="none"/>
          <w:u w:val="single"/>
        </w:rPr>
        <w:t xml:space="preserve">                                    </w:t>
      </w:r>
    </w:p>
    <w:p>
      <w:pPr>
        <w:spacing w:line="440" w:lineRule="exact"/>
        <w:rPr>
          <w:rFonts w:ascii="Times New Roman" w:hAnsi="Times New Roman" w:cs="Times New Roman"/>
          <w:sz w:val="24"/>
          <w:highlight w:val="none"/>
        </w:rPr>
      </w:pPr>
    </w:p>
    <w:p>
      <w:pPr>
        <w:spacing w:line="440" w:lineRule="exact"/>
        <w:rPr>
          <w:rFonts w:ascii="Times New Roman" w:hAnsi="Times New Roman" w:cs="Times New Roman"/>
          <w:sz w:val="24"/>
          <w:highlight w:val="none"/>
        </w:rPr>
      </w:pPr>
      <w:r>
        <w:rPr>
          <w:rFonts w:ascii="Times New Roman" w:hAnsi="Times New Roman" w:cs="Times New Roman"/>
          <w:sz w:val="24"/>
          <w:highlight w:val="none"/>
        </w:rPr>
        <w:t>委托代理人：</w:t>
      </w:r>
      <w:r>
        <w:rPr>
          <w:rFonts w:ascii="Times New Roman" w:hAnsi="Times New Roman" w:cs="Times New Roman"/>
          <w:sz w:val="24"/>
          <w:highlight w:val="none"/>
          <w:u w:val="single"/>
        </w:rPr>
        <w:t xml:space="preserve">                               </w:t>
      </w:r>
      <w:r>
        <w:rPr>
          <w:rFonts w:hint="eastAsia" w:ascii="宋体" w:hAnsi="宋体" w:eastAsia="宋体" w:cs="宋体"/>
          <w:sz w:val="24"/>
          <w:szCs w:val="24"/>
          <w:highlight w:val="none"/>
        </w:rPr>
        <w:t>（签字）</w:t>
      </w:r>
    </w:p>
    <w:p>
      <w:pPr>
        <w:spacing w:line="440" w:lineRule="exact"/>
        <w:rPr>
          <w:rFonts w:ascii="Times New Roman" w:hAnsi="Times New Roman" w:cs="Times New Roman"/>
          <w:sz w:val="24"/>
          <w:highlight w:val="none"/>
        </w:rPr>
      </w:pPr>
    </w:p>
    <w:p>
      <w:pPr>
        <w:spacing w:line="440" w:lineRule="exact"/>
        <w:rPr>
          <w:rFonts w:ascii="Times New Roman" w:hAnsi="Times New Roman" w:cs="Times New Roman"/>
          <w:sz w:val="24"/>
          <w:highlight w:val="none"/>
        </w:rPr>
      </w:pPr>
      <w:r>
        <w:rPr>
          <w:rFonts w:ascii="Times New Roman" w:hAnsi="Times New Roman" w:cs="Times New Roman"/>
          <w:sz w:val="24"/>
          <w:highlight w:val="none"/>
        </w:rPr>
        <w:t>身份证号码：</w:t>
      </w:r>
      <w:r>
        <w:rPr>
          <w:rFonts w:ascii="Times New Roman" w:hAnsi="Times New Roman" w:cs="Times New Roman"/>
          <w:sz w:val="24"/>
          <w:highlight w:val="none"/>
          <w:u w:val="single"/>
        </w:rPr>
        <w:t xml:space="preserve">                                    </w:t>
      </w:r>
    </w:p>
    <w:p>
      <w:pPr>
        <w:spacing w:line="440" w:lineRule="exact"/>
        <w:rPr>
          <w:rFonts w:ascii="Times New Roman" w:hAnsi="Times New Roman" w:cs="Times New Roman"/>
          <w:sz w:val="24"/>
          <w:highlight w:val="none"/>
        </w:rPr>
      </w:pPr>
    </w:p>
    <w:p>
      <w:pPr>
        <w:spacing w:line="440" w:lineRule="exact"/>
        <w:rPr>
          <w:rFonts w:ascii="Times New Roman" w:hAnsi="Times New Roman" w:cs="Times New Roman"/>
          <w:sz w:val="24"/>
          <w:highlight w:val="none"/>
        </w:rPr>
      </w:pPr>
    </w:p>
    <w:p>
      <w:pPr>
        <w:spacing w:line="440" w:lineRule="exact"/>
        <w:ind w:firstLine="3000" w:firstLineChars="1250"/>
        <w:rPr>
          <w:rFonts w:ascii="Times New Roman" w:hAnsi="Times New Roman" w:eastAsia="黑体" w:cs="Times New Roman"/>
          <w:sz w:val="24"/>
          <w:highlight w:val="none"/>
        </w:rPr>
        <w:sectPr>
          <w:footnotePr>
            <w:numFmt w:val="decimalEnclosedCircleChinese"/>
          </w:footnotePr>
          <w:pgSz w:w="11906" w:h="16838"/>
          <w:pgMar w:top="1440" w:right="1797" w:bottom="1440" w:left="1797" w:header="851" w:footer="992" w:gutter="0"/>
          <w:pgNumType w:fmt="decimal"/>
          <w:cols w:space="720" w:num="1"/>
          <w:docGrid w:type="linesAndChars" w:linePitch="312" w:charSpace="0"/>
        </w:sect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年 </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日</w:t>
      </w:r>
      <w:bookmarkStart w:id="121" w:name="_Toc24567_WPSOffice_Level1"/>
      <w:bookmarkStart w:id="122" w:name="_Toc32085_WPSOffice_Level1"/>
      <w:bookmarkStart w:id="123" w:name="_Toc24530_WPSOffice_Level1"/>
      <w:bookmarkStart w:id="124" w:name="_Toc28828_WPSOffice_Level1"/>
      <w:bookmarkStart w:id="125" w:name="_Toc27513_WPSOffice_Level1"/>
      <w:bookmarkStart w:id="126" w:name="_Toc26364_WPSOffice_Level1"/>
    </w:p>
    <w:bookmarkEnd w:id="121"/>
    <w:bookmarkEnd w:id="122"/>
    <w:bookmarkEnd w:id="123"/>
    <w:bookmarkEnd w:id="124"/>
    <w:bookmarkEnd w:id="125"/>
    <w:bookmarkEnd w:id="126"/>
    <w:p>
      <w:pPr>
        <w:topLinePunct/>
        <w:spacing w:line="440" w:lineRule="exact"/>
        <w:jc w:val="center"/>
        <w:rPr>
          <w:rFonts w:ascii="Times New Roman" w:hAnsi="Times New Roman" w:eastAsia="黑体" w:cs="Times New Roman"/>
          <w:sz w:val="28"/>
          <w:szCs w:val="28"/>
          <w:highlight w:val="none"/>
        </w:rPr>
      </w:pPr>
      <w:bookmarkStart w:id="127" w:name="_Toc7738_WPSOffice_Level1"/>
      <w:bookmarkStart w:id="128" w:name="_Toc17124_WPSOffice_Level1"/>
      <w:bookmarkStart w:id="129" w:name="_Toc19015_WPSOffice_Level1"/>
      <w:bookmarkStart w:id="130" w:name="_Toc10436_WPSOffice_Level1"/>
      <w:bookmarkStart w:id="131" w:name="_Toc31445_WPSOffice_Level1"/>
      <w:bookmarkStart w:id="132" w:name="_Toc10646_WPSOffice_Level1"/>
      <w:r>
        <w:rPr>
          <w:rFonts w:hint="eastAsia" w:ascii="Times New Roman" w:hAnsi="Times New Roman" w:eastAsia="黑体" w:cs="Times New Roman"/>
          <w:sz w:val="28"/>
          <w:szCs w:val="28"/>
          <w:highlight w:val="none"/>
          <w:lang w:val="en-US" w:eastAsia="zh-CN"/>
        </w:rPr>
        <w:t>三</w:t>
      </w:r>
      <w:r>
        <w:rPr>
          <w:rFonts w:ascii="Times New Roman" w:hAnsi="Times New Roman" w:eastAsia="黑体" w:cs="Times New Roman"/>
          <w:sz w:val="28"/>
          <w:szCs w:val="28"/>
          <w:highlight w:val="none"/>
        </w:rPr>
        <w:t>、</w:t>
      </w:r>
      <w:bookmarkStart w:id="133" w:name="_Toc2807_WPSOffice_Level2"/>
      <w:bookmarkStart w:id="134" w:name="_Toc27600_WPSOffice_Level2"/>
      <w:r>
        <w:rPr>
          <w:rFonts w:ascii="Times New Roman" w:hAnsi="Times New Roman" w:eastAsia="黑体" w:cs="Times New Roman"/>
          <w:sz w:val="28"/>
          <w:szCs w:val="28"/>
          <w:highlight w:val="none"/>
        </w:rPr>
        <w:t>供应商基本情况</w:t>
      </w:r>
      <w:bookmarkEnd w:id="127"/>
      <w:bookmarkEnd w:id="128"/>
      <w:bookmarkEnd w:id="129"/>
      <w:bookmarkEnd w:id="130"/>
      <w:bookmarkEnd w:id="131"/>
      <w:bookmarkEnd w:id="132"/>
      <w:bookmarkEnd w:id="133"/>
      <w:bookmarkEnd w:id="134"/>
    </w:p>
    <w:p>
      <w:pPr>
        <w:topLinePunct/>
        <w:spacing w:line="440" w:lineRule="exact"/>
        <w:jc w:val="center"/>
        <w:rPr>
          <w:rFonts w:ascii="Times New Roman" w:hAnsi="Times New Roman" w:cs="Times New Roman"/>
          <w:sz w:val="23"/>
          <w:szCs w:val="23"/>
          <w:highlight w:val="none"/>
        </w:rPr>
      </w:pPr>
    </w:p>
    <w:tbl>
      <w:tblPr>
        <w:tblStyle w:val="21"/>
        <w:tblW w:w="862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20"/>
        <w:gridCol w:w="1087"/>
        <w:gridCol w:w="2173"/>
        <w:gridCol w:w="1084"/>
        <w:gridCol w:w="235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2" w:hRule="atLeast"/>
        </w:trPr>
        <w:tc>
          <w:tcPr>
            <w:tcW w:w="192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供应商名称</w:t>
            </w:r>
          </w:p>
        </w:tc>
        <w:tc>
          <w:tcPr>
            <w:tcW w:w="6700"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192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注册地址</w:t>
            </w:r>
          </w:p>
        </w:tc>
        <w:tc>
          <w:tcPr>
            <w:tcW w:w="32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电 话</w:t>
            </w:r>
          </w:p>
        </w:tc>
        <w:tc>
          <w:tcPr>
            <w:tcW w:w="2356"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1920" w:type="dxa"/>
            <w:vMerge w:val="restart"/>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联系方式</w:t>
            </w:r>
          </w:p>
        </w:tc>
        <w:tc>
          <w:tcPr>
            <w:tcW w:w="108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联系人</w:t>
            </w:r>
          </w:p>
        </w:tc>
        <w:tc>
          <w:tcPr>
            <w:tcW w:w="2173"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电</w:t>
            </w:r>
            <w:r>
              <w:rPr>
                <w:rFonts w:hint="eastAsia" w:ascii="Times New Roman" w:hAnsi="Times New Roman" w:cs="Times New Roman"/>
                <w:szCs w:val="21"/>
                <w:highlight w:val="none"/>
              </w:rPr>
              <w:t xml:space="preserve"> </w:t>
            </w:r>
            <w:r>
              <w:rPr>
                <w:rFonts w:ascii="Times New Roman" w:hAnsi="Times New Roman" w:cs="Times New Roman"/>
                <w:szCs w:val="21"/>
                <w:highlight w:val="none"/>
              </w:rPr>
              <w:t>话</w:t>
            </w:r>
          </w:p>
        </w:tc>
        <w:tc>
          <w:tcPr>
            <w:tcW w:w="2356"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1920"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p>
        </w:tc>
        <w:tc>
          <w:tcPr>
            <w:tcW w:w="108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职  务</w:t>
            </w:r>
          </w:p>
        </w:tc>
        <w:tc>
          <w:tcPr>
            <w:tcW w:w="2173"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电子</w:t>
            </w:r>
            <w:r>
              <w:rPr>
                <w:rFonts w:hint="eastAsia" w:ascii="Times New Roman" w:hAnsi="Times New Roman" w:cs="Times New Roman"/>
                <w:szCs w:val="21"/>
                <w:highlight w:val="none"/>
              </w:rPr>
              <w:t>邮箱</w:t>
            </w:r>
          </w:p>
        </w:tc>
        <w:tc>
          <w:tcPr>
            <w:tcW w:w="2356"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2" w:hRule="atLeast"/>
        </w:trPr>
        <w:tc>
          <w:tcPr>
            <w:tcW w:w="192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法定代表人</w:t>
            </w:r>
          </w:p>
        </w:tc>
        <w:tc>
          <w:tcPr>
            <w:tcW w:w="108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p>
        </w:tc>
        <w:tc>
          <w:tcPr>
            <w:tcW w:w="2173"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p>
        </w:tc>
        <w:tc>
          <w:tcPr>
            <w:tcW w:w="108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p>
        </w:tc>
        <w:tc>
          <w:tcPr>
            <w:tcW w:w="2356"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192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企业资质等级</w:t>
            </w:r>
          </w:p>
        </w:tc>
        <w:tc>
          <w:tcPr>
            <w:tcW w:w="6700"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63" w:hRule="atLeast"/>
        </w:trPr>
        <w:tc>
          <w:tcPr>
            <w:tcW w:w="192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资产构成情况及投资参股的关联企业情况</w:t>
            </w:r>
          </w:p>
        </w:tc>
        <w:tc>
          <w:tcPr>
            <w:tcW w:w="6700"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rPr>
                <w:rFonts w:ascii="Times New Roman" w:hAnsi="Times New Roman" w:cs="Times New Roman"/>
                <w:szCs w:val="21"/>
                <w:highlight w:val="none"/>
              </w:rPr>
            </w:pPr>
          </w:p>
          <w:p>
            <w:pPr>
              <w:topLinePunct/>
              <w:spacing w:line="440" w:lineRule="exact"/>
              <w:jc w:val="center"/>
              <w:rPr>
                <w:rFonts w:ascii="Times New Roman" w:hAnsi="Times New Roman" w:cs="Times New Roman"/>
                <w:szCs w:val="21"/>
                <w:highlight w:val="none"/>
              </w:rPr>
            </w:pPr>
          </w:p>
          <w:p>
            <w:pPr>
              <w:topLinePunct/>
              <w:spacing w:line="440" w:lineRule="exact"/>
              <w:rPr>
                <w:rFonts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192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备注</w:t>
            </w:r>
          </w:p>
        </w:tc>
        <w:tc>
          <w:tcPr>
            <w:tcW w:w="6700"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imes New Roman" w:hAnsi="Times New Roman" w:cs="Times New Roman"/>
                <w:szCs w:val="21"/>
                <w:highlight w:val="none"/>
              </w:rPr>
            </w:pPr>
          </w:p>
        </w:tc>
      </w:tr>
    </w:tbl>
    <w:p>
      <w:pPr>
        <w:widowControl/>
        <w:autoSpaceDE w:val="0"/>
        <w:autoSpaceDN w:val="0"/>
        <w:spacing w:line="360" w:lineRule="atLeast"/>
        <w:ind w:left="180"/>
        <w:textAlignment w:val="bottom"/>
        <w:rPr>
          <w:rFonts w:ascii="Times New Roman" w:hAnsi="Times New Roman" w:cs="Times New Roman"/>
          <w:sz w:val="20"/>
          <w:szCs w:val="20"/>
          <w:highlight w:val="none"/>
        </w:rPr>
      </w:pPr>
      <w:r>
        <w:rPr>
          <w:rFonts w:ascii="Times New Roman" w:hAnsi="Times New Roman" w:eastAsia="黑体" w:cs="Times New Roman"/>
          <w:szCs w:val="21"/>
          <w:highlight w:val="none"/>
        </w:rPr>
        <w:t>注：</w:t>
      </w:r>
    </w:p>
    <w:p>
      <w:pPr>
        <w:keepNext w:val="0"/>
        <w:keepLines w:val="0"/>
        <w:pageBreakBefore w:val="0"/>
        <w:widowControl/>
        <w:kinsoku/>
        <w:wordWrap/>
        <w:overflowPunct/>
        <w:topLinePunct w:val="0"/>
        <w:autoSpaceDE w:val="0"/>
        <w:autoSpaceDN w:val="0"/>
        <w:bidi w:val="0"/>
        <w:adjustRightInd/>
        <w:snapToGrid/>
        <w:spacing w:line="360" w:lineRule="atLeast"/>
        <w:ind w:firstLine="420" w:firstLineChars="200"/>
        <w:textAlignment w:val="bottom"/>
        <w:rPr>
          <w:rFonts w:ascii="Times New Roman" w:hAnsi="Times New Roman" w:eastAsia="黑体" w:cs="Times New Roman"/>
          <w:sz w:val="21"/>
          <w:szCs w:val="21"/>
          <w:highlight w:val="none"/>
        </w:rPr>
      </w:pPr>
      <w:r>
        <w:rPr>
          <w:rFonts w:ascii="Times New Roman" w:hAnsi="Times New Roman" w:eastAsia="黑体" w:cs="Times New Roman"/>
          <w:sz w:val="21"/>
          <w:szCs w:val="21"/>
          <w:highlight w:val="none"/>
        </w:rPr>
        <w:t>在本表后应附企业法人营业执照、</w:t>
      </w:r>
      <w:r>
        <w:rPr>
          <w:rFonts w:hint="eastAsia" w:ascii="Times New Roman" w:hAnsi="Times New Roman" w:eastAsia="黑体" w:cs="Times New Roman"/>
          <w:sz w:val="21"/>
          <w:szCs w:val="21"/>
          <w:highlight w:val="none"/>
          <w:lang w:val="en-US" w:eastAsia="zh-CN"/>
        </w:rPr>
        <w:t>相关</w:t>
      </w:r>
      <w:r>
        <w:rPr>
          <w:rFonts w:ascii="Times New Roman" w:hAnsi="Times New Roman" w:eastAsia="黑体" w:cs="Times New Roman"/>
          <w:sz w:val="21"/>
          <w:szCs w:val="21"/>
          <w:highlight w:val="none"/>
        </w:rPr>
        <w:t>证书</w:t>
      </w:r>
      <w:r>
        <w:rPr>
          <w:rFonts w:hint="eastAsia" w:ascii="Times New Roman" w:hAnsi="Times New Roman" w:eastAsia="黑体" w:cs="Times New Roman"/>
          <w:sz w:val="21"/>
          <w:szCs w:val="21"/>
          <w:highlight w:val="none"/>
          <w:lang w:eastAsia="zh-CN"/>
        </w:rPr>
        <w:t>（</w:t>
      </w:r>
      <w:r>
        <w:rPr>
          <w:rFonts w:hint="eastAsia" w:ascii="Times New Roman" w:hAnsi="Times New Roman" w:eastAsia="黑体" w:cs="Times New Roman"/>
          <w:sz w:val="21"/>
          <w:szCs w:val="21"/>
          <w:highlight w:val="none"/>
          <w:lang w:val="en-US" w:eastAsia="zh-CN"/>
        </w:rPr>
        <w:t>制造商的授权代理商参加询比的，应具备</w:t>
      </w:r>
      <w:r>
        <w:rPr>
          <w:rFonts w:hint="eastAsia" w:ascii="Times New Roman" w:eastAsia="宋体"/>
          <w:b/>
          <w:bCs/>
          <w:highlight w:val="none"/>
          <w:lang w:val="en-US" w:eastAsia="zh-CN"/>
        </w:rPr>
        <w:t>代理证书/品牌授权书</w:t>
      </w:r>
      <w:r>
        <w:rPr>
          <w:rFonts w:hint="eastAsia" w:ascii="Times New Roman" w:hAnsi="Times New Roman" w:eastAsia="黑体" w:cs="Times New Roman"/>
          <w:sz w:val="21"/>
          <w:szCs w:val="21"/>
          <w:highlight w:val="none"/>
          <w:lang w:eastAsia="zh-CN"/>
        </w:rPr>
        <w:t>）</w:t>
      </w:r>
      <w:r>
        <w:rPr>
          <w:rFonts w:ascii="Times New Roman" w:hAnsi="Times New Roman" w:eastAsia="黑体" w:cs="Times New Roman"/>
          <w:sz w:val="21"/>
          <w:szCs w:val="21"/>
          <w:highlight w:val="none"/>
        </w:rPr>
        <w:t>、及资格审查要求的其他证件复印件。</w:t>
      </w:r>
    </w:p>
    <w:p>
      <w:pPr>
        <w:keepNext w:val="0"/>
        <w:keepLines w:val="0"/>
        <w:pageBreakBefore w:val="0"/>
        <w:widowControl/>
        <w:kinsoku/>
        <w:wordWrap/>
        <w:overflowPunct/>
        <w:topLinePunct w:val="0"/>
        <w:autoSpaceDE w:val="0"/>
        <w:autoSpaceDN w:val="0"/>
        <w:bidi w:val="0"/>
        <w:adjustRightInd/>
        <w:snapToGrid/>
        <w:spacing w:line="360" w:lineRule="atLeast"/>
        <w:ind w:left="420" w:leftChars="200" w:firstLine="420" w:firstLineChars="200"/>
        <w:textAlignment w:val="bottom"/>
        <w:rPr>
          <w:rFonts w:ascii="Times New Roman" w:hAnsi="Times New Roman" w:eastAsia="黑体" w:cs="Times New Roman"/>
          <w:szCs w:val="21"/>
          <w:highlight w:val="none"/>
        </w:rPr>
      </w:pPr>
    </w:p>
    <w:p>
      <w:pPr>
        <w:spacing w:line="360" w:lineRule="auto"/>
        <w:ind w:firstLine="2520" w:firstLineChars="1200"/>
        <w:rPr>
          <w:rFonts w:hint="eastAsia" w:hAnsi="宋体" w:cs="宋体"/>
          <w:bCs/>
          <w:color w:val="auto"/>
          <w:highlight w:val="none"/>
        </w:rPr>
      </w:pPr>
      <w:r>
        <w:rPr>
          <w:rFonts w:ascii="Times New Roman" w:hAnsi="Times New Roman" w:eastAsia="黑体" w:cs="Times New Roman"/>
          <w:szCs w:val="21"/>
          <w:highlight w:val="none"/>
        </w:rPr>
        <w:br w:type="page"/>
      </w:r>
    </w:p>
    <w:p>
      <w:pPr>
        <w:topLinePunct/>
        <w:spacing w:line="440" w:lineRule="exact"/>
        <w:jc w:val="center"/>
        <w:rPr>
          <w:rFonts w:hint="eastAsia" w:ascii="Times New Roman" w:hAnsi="Times New Roman" w:eastAsia="黑体" w:cs="Times New Roman"/>
          <w:sz w:val="28"/>
          <w:szCs w:val="28"/>
          <w:highlight w:val="none"/>
          <w:lang w:val="en-US" w:eastAsia="zh-CN"/>
        </w:rPr>
      </w:pPr>
      <w:bookmarkStart w:id="135" w:name="_Toc3772_WPSOffice_Level1"/>
      <w:bookmarkStart w:id="136" w:name="_Toc18547_WPSOffice_Level1"/>
      <w:bookmarkStart w:id="137" w:name="_Toc3912"/>
      <w:bookmarkStart w:id="138" w:name="_Toc5072_WPSOffice_Level1"/>
      <w:bookmarkStart w:id="139" w:name="_Toc1452_WPSOffice_Level1"/>
      <w:bookmarkStart w:id="140" w:name="_Toc19004_WPSOffice_Level1"/>
      <w:r>
        <w:rPr>
          <w:rFonts w:hint="eastAsia" w:ascii="Times New Roman" w:hAnsi="Times New Roman" w:eastAsia="黑体" w:cs="Times New Roman"/>
          <w:sz w:val="28"/>
          <w:szCs w:val="28"/>
          <w:highlight w:val="none"/>
          <w:lang w:val="en-US" w:eastAsia="zh-CN"/>
        </w:rPr>
        <w:t>四、近年类似业绩情况</w:t>
      </w:r>
      <w:bookmarkEnd w:id="135"/>
      <w:bookmarkEnd w:id="136"/>
      <w:bookmarkEnd w:id="137"/>
      <w:bookmarkEnd w:id="138"/>
      <w:bookmarkEnd w:id="139"/>
      <w:bookmarkEnd w:id="140"/>
    </w:p>
    <w:p>
      <w:pPr>
        <w:pStyle w:val="9"/>
        <w:rPr>
          <w:rFonts w:hint="eastAsia"/>
        </w:rPr>
      </w:pPr>
    </w:p>
    <w:tbl>
      <w:tblPr>
        <w:tblStyle w:val="2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0"/>
        <w:gridCol w:w="6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270" w:type="dxa"/>
            <w:vAlign w:val="center"/>
          </w:tcPr>
          <w:p>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项目名称</w:t>
            </w:r>
          </w:p>
        </w:tc>
        <w:tc>
          <w:tcPr>
            <w:tcW w:w="6258" w:type="dxa"/>
          </w:tcPr>
          <w:p>
            <w:pPr>
              <w:topLinePunct/>
              <w:spacing w:line="440" w:lineRule="exact"/>
              <w:rPr>
                <w:rFonts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270" w:type="dxa"/>
            <w:vAlign w:val="center"/>
          </w:tcPr>
          <w:p>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业主</w:t>
            </w:r>
            <w:r>
              <w:rPr>
                <w:rFonts w:ascii="Times New Roman" w:hAnsi="Times New Roman" w:cs="Times New Roman"/>
                <w:szCs w:val="21"/>
                <w:highlight w:val="none"/>
              </w:rPr>
              <w:t>名称</w:t>
            </w:r>
          </w:p>
        </w:tc>
        <w:tc>
          <w:tcPr>
            <w:tcW w:w="6258" w:type="dxa"/>
          </w:tcPr>
          <w:p>
            <w:pPr>
              <w:topLinePunct/>
              <w:spacing w:line="440" w:lineRule="exact"/>
              <w:rPr>
                <w:rFonts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270" w:type="dxa"/>
            <w:vAlign w:val="center"/>
          </w:tcPr>
          <w:p>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业主代表姓名</w:t>
            </w:r>
          </w:p>
        </w:tc>
        <w:tc>
          <w:tcPr>
            <w:tcW w:w="6258" w:type="dxa"/>
          </w:tcPr>
          <w:p>
            <w:pPr>
              <w:topLinePunct/>
              <w:spacing w:line="440" w:lineRule="exact"/>
              <w:rPr>
                <w:rFonts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70" w:type="dxa"/>
            <w:vAlign w:val="center"/>
          </w:tcPr>
          <w:p>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业主代表</w:t>
            </w:r>
            <w:r>
              <w:rPr>
                <w:rFonts w:ascii="Times New Roman" w:hAnsi="Times New Roman" w:cs="Times New Roman"/>
                <w:szCs w:val="21"/>
                <w:highlight w:val="none"/>
              </w:rPr>
              <w:t>电话</w:t>
            </w:r>
          </w:p>
        </w:tc>
        <w:tc>
          <w:tcPr>
            <w:tcW w:w="6258" w:type="dxa"/>
          </w:tcPr>
          <w:p>
            <w:pPr>
              <w:topLinePunct/>
              <w:spacing w:line="440" w:lineRule="exact"/>
              <w:rPr>
                <w:rFonts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270" w:type="dxa"/>
            <w:vAlign w:val="center"/>
          </w:tcPr>
          <w:p>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合同价格</w:t>
            </w:r>
          </w:p>
        </w:tc>
        <w:tc>
          <w:tcPr>
            <w:tcW w:w="6258" w:type="dxa"/>
          </w:tcPr>
          <w:p>
            <w:pPr>
              <w:topLinePunct/>
              <w:spacing w:line="440" w:lineRule="exact"/>
              <w:rPr>
                <w:rFonts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270" w:type="dxa"/>
            <w:vAlign w:val="center"/>
          </w:tcPr>
          <w:p>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供货</w:t>
            </w:r>
            <w:r>
              <w:rPr>
                <w:rFonts w:hint="eastAsia" w:ascii="Times New Roman" w:hAnsi="Times New Roman" w:cs="Times New Roman"/>
                <w:szCs w:val="21"/>
                <w:highlight w:val="none"/>
              </w:rPr>
              <w:t>内容</w:t>
            </w:r>
            <w:r>
              <w:rPr>
                <w:rFonts w:ascii="Times New Roman" w:hAnsi="Times New Roman" w:cs="Times New Roman"/>
                <w:szCs w:val="21"/>
                <w:highlight w:val="none"/>
              </w:rPr>
              <w:t>描述</w:t>
            </w:r>
          </w:p>
        </w:tc>
        <w:tc>
          <w:tcPr>
            <w:tcW w:w="6258" w:type="dxa"/>
          </w:tcPr>
          <w:p>
            <w:pPr>
              <w:topLinePunct/>
              <w:spacing w:line="440" w:lineRule="exact"/>
              <w:rPr>
                <w:rFonts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270" w:type="dxa"/>
            <w:vAlign w:val="center"/>
          </w:tcPr>
          <w:p>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备注</w:t>
            </w:r>
          </w:p>
        </w:tc>
        <w:tc>
          <w:tcPr>
            <w:tcW w:w="6258" w:type="dxa"/>
          </w:tcPr>
          <w:p>
            <w:pPr>
              <w:topLinePunct/>
              <w:spacing w:line="440" w:lineRule="exact"/>
              <w:rPr>
                <w:rFonts w:ascii="Times New Roman" w:hAnsi="Times New Roman" w:cs="Times New Roman"/>
                <w:szCs w:val="21"/>
                <w:highlight w:val="none"/>
              </w:rPr>
            </w:pPr>
          </w:p>
        </w:tc>
      </w:tr>
    </w:tbl>
    <w:p>
      <w:pPr>
        <w:widowControl/>
        <w:autoSpaceDE w:val="0"/>
        <w:autoSpaceDN w:val="0"/>
        <w:spacing w:line="360" w:lineRule="atLeast"/>
        <w:ind w:left="418" w:hanging="418" w:hangingChars="209"/>
        <w:textAlignment w:val="bottom"/>
        <w:rPr>
          <w:rFonts w:ascii="Times New Roman" w:hAnsi="Times New Roman" w:eastAsia="黑体" w:cs="Times New Roman"/>
          <w:sz w:val="20"/>
          <w:szCs w:val="20"/>
          <w:highlight w:val="none"/>
        </w:rPr>
      </w:pPr>
      <w:r>
        <w:rPr>
          <w:rFonts w:ascii="Times New Roman" w:hAnsi="Times New Roman" w:eastAsia="黑体" w:cs="Times New Roman"/>
          <w:sz w:val="20"/>
          <w:szCs w:val="20"/>
          <w:highlight w:val="none"/>
        </w:rPr>
        <w:t>注：</w:t>
      </w:r>
    </w:p>
    <w:p>
      <w:pPr>
        <w:keepNext w:val="0"/>
        <w:keepLines w:val="0"/>
        <w:pageBreakBefore w:val="0"/>
        <w:widowControl/>
        <w:numPr>
          <w:ilvl w:val="0"/>
          <w:numId w:val="4"/>
        </w:numPr>
        <w:kinsoku/>
        <w:wordWrap/>
        <w:overflowPunct/>
        <w:topLinePunct w:val="0"/>
        <w:autoSpaceDE w:val="0"/>
        <w:autoSpaceDN w:val="0"/>
        <w:bidi w:val="0"/>
        <w:adjustRightInd/>
        <w:snapToGrid/>
        <w:spacing w:line="320" w:lineRule="exact"/>
        <w:ind w:left="0" w:leftChars="0" w:firstLine="420" w:firstLineChars="200"/>
        <w:textAlignment w:val="bottom"/>
        <w:rPr>
          <w:rFonts w:hint="eastAsia" w:ascii="黑体" w:hAnsi="黑体" w:eastAsia="黑体" w:cs="黑体"/>
          <w:sz w:val="21"/>
          <w:szCs w:val="21"/>
          <w:highlight w:val="none"/>
        </w:rPr>
      </w:pPr>
      <w:r>
        <w:rPr>
          <w:rFonts w:hint="eastAsia" w:ascii="黑体" w:hAnsi="黑体" w:eastAsia="黑体" w:cs="黑体"/>
          <w:sz w:val="21"/>
          <w:szCs w:val="21"/>
          <w:highlight w:val="none"/>
        </w:rPr>
        <w:t>每张表格只填写一个项目，并标明序号。</w:t>
      </w:r>
    </w:p>
    <w:p>
      <w:pPr>
        <w:keepNext w:val="0"/>
        <w:keepLines w:val="0"/>
        <w:pageBreakBefore w:val="0"/>
        <w:widowControl/>
        <w:numPr>
          <w:ilvl w:val="0"/>
          <w:numId w:val="4"/>
        </w:numPr>
        <w:kinsoku/>
        <w:wordWrap/>
        <w:overflowPunct/>
        <w:topLinePunct w:val="0"/>
        <w:autoSpaceDE w:val="0"/>
        <w:autoSpaceDN w:val="0"/>
        <w:bidi w:val="0"/>
        <w:adjustRightInd/>
        <w:snapToGrid/>
        <w:spacing w:line="320" w:lineRule="exact"/>
        <w:ind w:left="0" w:leftChars="0" w:firstLine="420" w:firstLineChars="200"/>
        <w:textAlignment w:val="bottom"/>
        <w:rPr>
          <w:rFonts w:hint="eastAsia" w:ascii="黑体" w:hAnsi="黑体" w:eastAsia="黑体" w:cs="黑体"/>
          <w:sz w:val="21"/>
          <w:szCs w:val="21"/>
          <w:highlight w:val="none"/>
          <w:lang w:val="en-US" w:eastAsia="zh-CN"/>
        </w:rPr>
      </w:pPr>
      <w:r>
        <w:rPr>
          <w:rFonts w:hint="eastAsia" w:ascii="黑体" w:hAnsi="黑体" w:eastAsia="黑体" w:cs="黑体"/>
          <w:sz w:val="21"/>
          <w:szCs w:val="21"/>
          <w:highlight w:val="none"/>
        </w:rPr>
        <w:t>业绩证明材料要求：</w:t>
      </w:r>
      <w:r>
        <w:rPr>
          <w:rFonts w:hint="eastAsia" w:ascii="黑体" w:hAnsi="黑体" w:eastAsia="黑体" w:cs="黑体"/>
          <w:sz w:val="21"/>
          <w:szCs w:val="21"/>
          <w:highlight w:val="none"/>
          <w:u w:val="single"/>
          <w:lang w:val="en-US" w:eastAsia="zh-CN"/>
        </w:rPr>
        <w:t>详见业绩最低要求</w:t>
      </w:r>
      <w:r>
        <w:rPr>
          <w:rFonts w:hint="eastAsia" w:ascii="黑体" w:hAnsi="黑体" w:eastAsia="黑体" w:cs="黑体"/>
          <w:sz w:val="21"/>
          <w:szCs w:val="21"/>
          <w:highlight w:val="none"/>
          <w:lang w:val="en-US" w:eastAsia="zh-CN"/>
        </w:rPr>
        <w:t>。</w:t>
      </w:r>
    </w:p>
    <w:p>
      <w:pPr>
        <w:keepNext w:val="0"/>
        <w:keepLines w:val="0"/>
        <w:pageBreakBefore w:val="0"/>
        <w:widowControl/>
        <w:numPr>
          <w:ilvl w:val="0"/>
          <w:numId w:val="4"/>
        </w:numPr>
        <w:kinsoku/>
        <w:wordWrap/>
        <w:overflowPunct/>
        <w:topLinePunct w:val="0"/>
        <w:autoSpaceDE w:val="0"/>
        <w:autoSpaceDN w:val="0"/>
        <w:bidi w:val="0"/>
        <w:adjustRightInd/>
        <w:snapToGrid/>
        <w:spacing w:line="320" w:lineRule="exact"/>
        <w:ind w:left="0" w:leftChars="0" w:firstLine="420" w:firstLineChars="200"/>
        <w:textAlignment w:val="bottom"/>
        <w:rPr>
          <w:rFonts w:hint="eastAsia" w:ascii="黑体" w:hAnsi="黑体" w:eastAsia="黑体" w:cs="黑体"/>
          <w:sz w:val="21"/>
          <w:szCs w:val="21"/>
          <w:highlight w:val="none"/>
          <w:lang w:val="en-US" w:eastAsia="zh-CN"/>
        </w:rPr>
      </w:pPr>
      <w:r>
        <w:rPr>
          <w:rFonts w:hint="eastAsia" w:ascii="黑体" w:hAnsi="黑体" w:eastAsia="黑体" w:cs="黑体"/>
          <w:sz w:val="21"/>
          <w:szCs w:val="21"/>
          <w:highlight w:val="none"/>
          <w:lang w:val="en-US" w:eastAsia="zh-CN"/>
        </w:rPr>
        <w:t>资格审查业绩可作为商务及技术文件评审业绩。</w:t>
      </w:r>
    </w:p>
    <w:p>
      <w:pPr>
        <w:keepNext w:val="0"/>
        <w:keepLines w:val="0"/>
        <w:pageBreakBefore w:val="0"/>
        <w:widowControl/>
        <w:numPr>
          <w:ilvl w:val="0"/>
          <w:numId w:val="0"/>
        </w:numPr>
        <w:kinsoku/>
        <w:wordWrap/>
        <w:overflowPunct/>
        <w:topLinePunct w:val="0"/>
        <w:autoSpaceDE w:val="0"/>
        <w:autoSpaceDN w:val="0"/>
        <w:bidi w:val="0"/>
        <w:adjustRightInd/>
        <w:snapToGrid/>
        <w:spacing w:line="320" w:lineRule="exact"/>
        <w:ind w:leftChars="200"/>
        <w:textAlignment w:val="bottom"/>
        <w:rPr>
          <w:rFonts w:hint="default"/>
          <w:highlight w:val="none"/>
          <w:lang w:val="en-US" w:eastAsia="zh-CN"/>
        </w:rPr>
      </w:pPr>
      <w:r>
        <w:rPr>
          <w:rFonts w:hint="eastAsia" w:ascii="黑体" w:hAnsi="黑体" w:eastAsia="黑体" w:cs="黑体"/>
          <w:sz w:val="21"/>
          <w:szCs w:val="21"/>
          <w:highlight w:val="none"/>
          <w:lang w:val="en-US" w:eastAsia="zh-CN"/>
        </w:rPr>
        <w:t>4、未在表中备注列明的资格审查业绩均不作为资格审查供应商业绩予以评审。</w:t>
      </w:r>
    </w:p>
    <w:p>
      <w:pPr>
        <w:keepNext w:val="0"/>
        <w:keepLines w:val="0"/>
        <w:pageBreakBefore w:val="0"/>
        <w:widowControl/>
        <w:numPr>
          <w:ilvl w:val="0"/>
          <w:numId w:val="0"/>
        </w:numPr>
        <w:kinsoku/>
        <w:wordWrap/>
        <w:overflowPunct/>
        <w:topLinePunct w:val="0"/>
        <w:autoSpaceDE w:val="0"/>
        <w:autoSpaceDN w:val="0"/>
        <w:bidi w:val="0"/>
        <w:adjustRightInd/>
        <w:snapToGrid/>
        <w:spacing w:line="320" w:lineRule="exact"/>
        <w:ind w:left="0" w:leftChars="0" w:firstLine="420" w:firstLineChars="200"/>
        <w:textAlignment w:val="bottom"/>
        <w:rPr>
          <w:rFonts w:ascii="Times New Roman" w:hAnsi="Times New Roman" w:cs="Times New Roman"/>
          <w:bCs/>
          <w:kern w:val="0"/>
          <w:sz w:val="20"/>
          <w:szCs w:val="20"/>
          <w:highlight w:val="none"/>
        </w:rPr>
      </w:pPr>
      <w:r>
        <w:rPr>
          <w:rFonts w:hint="eastAsia" w:ascii="黑体" w:hAnsi="黑体" w:eastAsia="黑体" w:cs="黑体"/>
          <w:sz w:val="21"/>
          <w:szCs w:val="21"/>
          <w:highlight w:val="none"/>
          <w:lang w:val="en-US" w:eastAsia="zh-CN"/>
        </w:rPr>
        <w:t>5</w:t>
      </w:r>
      <w:r>
        <w:rPr>
          <w:rFonts w:hint="eastAsia" w:ascii="黑体" w:hAnsi="黑体" w:eastAsia="黑体" w:cs="黑体"/>
          <w:sz w:val="21"/>
          <w:szCs w:val="21"/>
          <w:highlight w:val="none"/>
        </w:rPr>
        <w:t>、如近年来，供应商法人机构发生合法变更或重组或法人名称变更时，应提供相关部门的合法批件或其他相关证明材料来证明其所附业绩的继承性。</w:t>
      </w:r>
      <w:r>
        <w:rPr>
          <w:rFonts w:ascii="Times New Roman" w:hAnsi="Times New Roman" w:eastAsia="黑体" w:cs="Times New Roman"/>
          <w:bCs/>
          <w:kern w:val="0"/>
          <w:szCs w:val="21"/>
          <w:highlight w:val="none"/>
        </w:rPr>
        <w:br w:type="page"/>
      </w:r>
    </w:p>
    <w:p>
      <w:pPr>
        <w:bidi w:val="0"/>
        <w:jc w:val="center"/>
        <w:rPr>
          <w:rFonts w:ascii="Times New Roman" w:hAnsi="Times New Roman" w:cs="Times New Roman"/>
          <w:bCs/>
          <w:sz w:val="23"/>
          <w:szCs w:val="23"/>
          <w:highlight w:val="none"/>
        </w:rPr>
      </w:pPr>
      <w:bookmarkStart w:id="141" w:name="_Toc3893_WPSOffice_Level1"/>
      <w:bookmarkStart w:id="142" w:name="_Toc26594_WPSOffice_Level1"/>
      <w:bookmarkStart w:id="143" w:name="_Toc12019_WPSOffice_Level1"/>
      <w:bookmarkStart w:id="144" w:name="_Toc5403_WPSOffice_Level1"/>
      <w:bookmarkStart w:id="145" w:name="_Toc5889_WPSOffice_Level1"/>
      <w:bookmarkStart w:id="146" w:name="_Toc10810_WPSOffice_Level1"/>
      <w:r>
        <w:rPr>
          <w:rFonts w:hint="eastAsia" w:ascii="黑体" w:hAnsi="黑体" w:eastAsia="黑体" w:cs="黑体"/>
          <w:sz w:val="28"/>
          <w:szCs w:val="28"/>
          <w:highlight w:val="none"/>
          <w:lang w:val="en-US" w:eastAsia="zh-CN"/>
        </w:rPr>
        <w:t>五</w:t>
      </w:r>
      <w:r>
        <w:rPr>
          <w:rFonts w:hint="eastAsia" w:ascii="黑体" w:hAnsi="黑体" w:eastAsia="黑体" w:cs="黑体"/>
          <w:sz w:val="28"/>
          <w:szCs w:val="28"/>
          <w:highlight w:val="none"/>
        </w:rPr>
        <w:t>、信誉情况</w:t>
      </w:r>
      <w:bookmarkEnd w:id="141"/>
      <w:bookmarkEnd w:id="142"/>
      <w:bookmarkEnd w:id="143"/>
      <w:bookmarkEnd w:id="144"/>
      <w:bookmarkEnd w:id="145"/>
      <w:bookmarkEnd w:id="146"/>
    </w:p>
    <w:p>
      <w:pPr>
        <w:topLinePunct/>
        <w:spacing w:line="440" w:lineRule="exact"/>
        <w:rPr>
          <w:rFonts w:ascii="Times New Roman" w:hAnsi="Times New Roman" w:cs="Times New Roman"/>
          <w:bCs/>
          <w:sz w:val="23"/>
          <w:szCs w:val="23"/>
          <w:highlight w:val="none"/>
        </w:rPr>
      </w:pPr>
    </w:p>
    <w:tbl>
      <w:tblPr>
        <w:tblStyle w:val="21"/>
        <w:tblW w:w="0" w:type="auto"/>
        <w:jc w:val="center"/>
        <w:tblLayout w:type="fixed"/>
        <w:tblCellMar>
          <w:top w:w="0" w:type="dxa"/>
          <w:left w:w="108" w:type="dxa"/>
          <w:bottom w:w="0" w:type="dxa"/>
          <w:right w:w="108" w:type="dxa"/>
        </w:tblCellMar>
      </w:tblPr>
      <w:tblGrid>
        <w:gridCol w:w="5104"/>
        <w:gridCol w:w="3968"/>
      </w:tblGrid>
      <w:tr>
        <w:tblPrEx>
          <w:tblCellMar>
            <w:top w:w="0" w:type="dxa"/>
            <w:left w:w="108" w:type="dxa"/>
            <w:bottom w:w="0" w:type="dxa"/>
            <w:right w:w="108" w:type="dxa"/>
          </w:tblCellMar>
        </w:tblPrEx>
        <w:trPr>
          <w:trHeight w:val="622" w:hRule="atLeast"/>
          <w:jc w:val="center"/>
        </w:trPr>
        <w:tc>
          <w:tcPr>
            <w:tcW w:w="5104" w:type="dxa"/>
            <w:tcBorders>
              <w:top w:val="single" w:color="auto" w:sz="12" w:space="0"/>
              <w:left w:val="single" w:color="auto" w:sz="12" w:space="0"/>
              <w:bottom w:val="single" w:color="auto" w:sz="4" w:space="0"/>
              <w:right w:val="single" w:color="auto" w:sz="4" w:space="0"/>
            </w:tcBorders>
            <w:noWrap w:val="0"/>
            <w:vAlign w:val="center"/>
          </w:tcPr>
          <w:p>
            <w:pPr>
              <w:snapToGrid w:val="0"/>
              <w:jc w:val="center"/>
              <w:rPr>
                <w:sz w:val="22"/>
                <w:szCs w:val="22"/>
                <w:highlight w:val="none"/>
              </w:rPr>
            </w:pPr>
            <w:r>
              <w:rPr>
                <w:rFonts w:hint="eastAsia"/>
                <w:sz w:val="22"/>
                <w:szCs w:val="22"/>
                <w:highlight w:val="none"/>
              </w:rPr>
              <w:t>项  目</w:t>
            </w:r>
          </w:p>
        </w:tc>
        <w:tc>
          <w:tcPr>
            <w:tcW w:w="3968" w:type="dxa"/>
            <w:tcBorders>
              <w:top w:val="single" w:color="auto" w:sz="12" w:space="0"/>
              <w:left w:val="single" w:color="auto" w:sz="4" w:space="0"/>
              <w:bottom w:val="single" w:color="auto" w:sz="4" w:space="0"/>
              <w:right w:val="single" w:color="auto" w:sz="12" w:space="0"/>
            </w:tcBorders>
            <w:noWrap w:val="0"/>
            <w:vAlign w:val="center"/>
          </w:tcPr>
          <w:p>
            <w:pPr>
              <w:spacing w:line="400" w:lineRule="exact"/>
              <w:jc w:val="center"/>
              <w:rPr>
                <w:sz w:val="22"/>
                <w:szCs w:val="22"/>
                <w:highlight w:val="none"/>
              </w:rPr>
            </w:pPr>
            <w:r>
              <w:rPr>
                <w:rFonts w:hint="eastAsia"/>
                <w:sz w:val="22"/>
                <w:szCs w:val="22"/>
                <w:highlight w:val="none"/>
              </w:rPr>
              <w:t>投标人情况说明</w:t>
            </w:r>
          </w:p>
        </w:tc>
      </w:tr>
      <w:tr>
        <w:tblPrEx>
          <w:tblCellMar>
            <w:top w:w="0" w:type="dxa"/>
            <w:left w:w="108" w:type="dxa"/>
            <w:bottom w:w="0" w:type="dxa"/>
            <w:right w:w="108" w:type="dxa"/>
          </w:tblCellMar>
        </w:tblPrEx>
        <w:trPr>
          <w:trHeight w:val="680" w:hRule="atLeast"/>
          <w:jc w:val="center"/>
        </w:trPr>
        <w:tc>
          <w:tcPr>
            <w:tcW w:w="5104" w:type="dxa"/>
            <w:tcBorders>
              <w:top w:val="single" w:color="auto" w:sz="4" w:space="0"/>
              <w:left w:val="single" w:color="auto" w:sz="12" w:space="0"/>
              <w:bottom w:val="single" w:color="auto" w:sz="4" w:space="0"/>
              <w:right w:val="single" w:color="auto" w:sz="4" w:space="0"/>
            </w:tcBorders>
            <w:noWrap w:val="0"/>
            <w:vAlign w:val="center"/>
          </w:tcPr>
          <w:p>
            <w:pPr>
              <w:spacing w:line="400" w:lineRule="exact"/>
              <w:jc w:val="left"/>
              <w:rPr>
                <w:rFonts w:eastAsia="黑体"/>
                <w:sz w:val="22"/>
                <w:szCs w:val="22"/>
                <w:highlight w:val="none"/>
              </w:rPr>
            </w:pPr>
            <w:r>
              <w:rPr>
                <w:rFonts w:hint="eastAsia"/>
                <w:sz w:val="22"/>
                <w:szCs w:val="22"/>
                <w:highlight w:val="none"/>
              </w:rPr>
              <w:t>（1</w:t>
            </w:r>
            <w:r>
              <w:rPr>
                <w:rFonts w:hint="eastAsia" w:hAnsi="宋体"/>
                <w:sz w:val="22"/>
                <w:szCs w:val="22"/>
                <w:highlight w:val="none"/>
              </w:rPr>
              <w:t>）</w:t>
            </w:r>
            <w:r>
              <w:rPr>
                <w:rFonts w:hint="eastAsia"/>
                <w:sz w:val="22"/>
                <w:highlight w:val="none"/>
              </w:rPr>
              <w:t>投标人或其法定代表人在近三年内有行贿犯罪行为</w:t>
            </w:r>
            <w:r>
              <w:rPr>
                <w:rFonts w:hint="eastAsia" w:hAnsi="宋体"/>
                <w:sz w:val="22"/>
                <w:szCs w:val="21"/>
                <w:highlight w:val="none"/>
              </w:rPr>
              <w:t>。</w:t>
            </w:r>
          </w:p>
        </w:tc>
        <w:tc>
          <w:tcPr>
            <w:tcW w:w="3968" w:type="dxa"/>
            <w:tcBorders>
              <w:top w:val="single" w:color="auto" w:sz="4" w:space="0"/>
              <w:left w:val="single" w:color="auto" w:sz="4" w:space="0"/>
              <w:bottom w:val="single" w:color="auto" w:sz="4" w:space="0"/>
              <w:right w:val="single" w:color="auto" w:sz="12" w:space="0"/>
            </w:tcBorders>
            <w:noWrap w:val="0"/>
            <w:vAlign w:val="center"/>
          </w:tcPr>
          <w:p>
            <w:pPr>
              <w:spacing w:line="400" w:lineRule="exact"/>
              <w:jc w:val="center"/>
              <w:rPr>
                <w:rFonts w:eastAsia="黑体"/>
                <w:sz w:val="22"/>
                <w:szCs w:val="22"/>
                <w:highlight w:val="none"/>
              </w:rPr>
            </w:pPr>
            <w:r>
              <w:rPr>
                <w:rFonts w:hint="eastAsia" w:ascii="宋体" w:hAnsi="宋体" w:cs="宋体"/>
                <w:sz w:val="22"/>
                <w:szCs w:val="22"/>
                <w:highlight w:val="none"/>
              </w:rPr>
              <w:t>□</w:t>
            </w:r>
            <w:r>
              <w:rPr>
                <w:rFonts w:hint="eastAsia" w:hAnsi="宋体"/>
                <w:sz w:val="22"/>
                <w:szCs w:val="22"/>
                <w:highlight w:val="none"/>
              </w:rPr>
              <w:t xml:space="preserve">有    </w:t>
            </w:r>
            <w:r>
              <w:rPr>
                <w:rFonts w:hint="eastAsia" w:ascii="宋体" w:hAnsi="宋体" w:cs="宋体"/>
                <w:sz w:val="22"/>
                <w:szCs w:val="22"/>
                <w:highlight w:val="none"/>
              </w:rPr>
              <w:t>□</w:t>
            </w:r>
            <w:r>
              <w:rPr>
                <w:rFonts w:hint="eastAsia" w:hAnsi="宋体"/>
                <w:sz w:val="22"/>
                <w:szCs w:val="22"/>
                <w:highlight w:val="none"/>
              </w:rPr>
              <w:t>无</w:t>
            </w:r>
          </w:p>
        </w:tc>
      </w:tr>
      <w:tr>
        <w:tblPrEx>
          <w:tblCellMar>
            <w:top w:w="0" w:type="dxa"/>
            <w:left w:w="108" w:type="dxa"/>
            <w:bottom w:w="0" w:type="dxa"/>
            <w:right w:w="108" w:type="dxa"/>
          </w:tblCellMar>
        </w:tblPrEx>
        <w:trPr>
          <w:trHeight w:val="680" w:hRule="atLeast"/>
          <w:jc w:val="center"/>
        </w:trPr>
        <w:tc>
          <w:tcPr>
            <w:tcW w:w="5104" w:type="dxa"/>
            <w:tcBorders>
              <w:top w:val="single" w:color="auto" w:sz="4" w:space="0"/>
              <w:left w:val="single" w:color="auto" w:sz="12" w:space="0"/>
              <w:bottom w:val="single" w:color="auto" w:sz="4" w:space="0"/>
              <w:right w:val="single" w:color="auto" w:sz="4" w:space="0"/>
            </w:tcBorders>
            <w:noWrap w:val="0"/>
            <w:vAlign w:val="center"/>
          </w:tcPr>
          <w:p>
            <w:pPr>
              <w:wordWrap w:val="0"/>
              <w:spacing w:line="400" w:lineRule="exact"/>
              <w:rPr>
                <w:rFonts w:eastAsia="黑体"/>
                <w:sz w:val="22"/>
                <w:szCs w:val="22"/>
                <w:highlight w:val="none"/>
              </w:rPr>
            </w:pPr>
            <w:r>
              <w:rPr>
                <w:rFonts w:hint="eastAsia" w:hAnsi="宋体"/>
                <w:sz w:val="22"/>
                <w:szCs w:val="22"/>
                <w:highlight w:val="none"/>
              </w:rPr>
              <w:t>（</w:t>
            </w:r>
            <w:r>
              <w:rPr>
                <w:rFonts w:hint="eastAsia"/>
                <w:sz w:val="22"/>
                <w:szCs w:val="22"/>
                <w:highlight w:val="none"/>
              </w:rPr>
              <w:t>2</w:t>
            </w:r>
            <w:r>
              <w:rPr>
                <w:rFonts w:hint="eastAsia" w:hAnsi="宋体"/>
                <w:sz w:val="22"/>
                <w:szCs w:val="22"/>
                <w:highlight w:val="none"/>
              </w:rPr>
              <w:t>）</w:t>
            </w:r>
            <w:r>
              <w:rPr>
                <w:sz w:val="22"/>
                <w:szCs w:val="22"/>
                <w:highlight w:val="none"/>
              </w:rPr>
              <w:fldChar w:fldCharType="begin"/>
            </w:r>
            <w:r>
              <w:rPr>
                <w:sz w:val="22"/>
                <w:szCs w:val="22"/>
                <w:highlight w:val="none"/>
              </w:rPr>
              <w:instrText xml:space="preserve"> HYPERLINK "http://www.creditchina.gov.cn/" </w:instrText>
            </w:r>
            <w:r>
              <w:rPr>
                <w:sz w:val="22"/>
                <w:szCs w:val="22"/>
                <w:highlight w:val="none"/>
              </w:rPr>
              <w:fldChar w:fldCharType="separate"/>
            </w:r>
            <w:r>
              <w:rPr>
                <w:rStyle w:val="25"/>
                <w:color w:val="auto"/>
                <w:sz w:val="22"/>
                <w:szCs w:val="22"/>
                <w:highlight w:val="none"/>
              </w:rPr>
              <w:t>在</w:t>
            </w:r>
            <w:r>
              <w:rPr>
                <w:rStyle w:val="25"/>
                <w:rFonts w:hint="eastAsia"/>
                <w:color w:val="auto"/>
                <w:sz w:val="22"/>
                <w:szCs w:val="22"/>
                <w:highlight w:val="none"/>
              </w:rPr>
              <w:t>“</w:t>
            </w:r>
            <w:r>
              <w:rPr>
                <w:rStyle w:val="25"/>
                <w:color w:val="auto"/>
                <w:sz w:val="22"/>
                <w:szCs w:val="22"/>
                <w:highlight w:val="none"/>
              </w:rPr>
              <w:t>信用中国</w:t>
            </w:r>
            <w:r>
              <w:rPr>
                <w:rStyle w:val="25"/>
                <w:rFonts w:hint="eastAsia"/>
                <w:color w:val="auto"/>
                <w:sz w:val="22"/>
                <w:szCs w:val="22"/>
                <w:highlight w:val="none"/>
              </w:rPr>
              <w:t>”</w:t>
            </w:r>
            <w:r>
              <w:rPr>
                <w:rStyle w:val="25"/>
                <w:color w:val="auto"/>
                <w:sz w:val="22"/>
                <w:szCs w:val="22"/>
                <w:highlight w:val="none"/>
              </w:rPr>
              <w:t>网站（http://w</w:t>
            </w:r>
            <w:r>
              <w:rPr>
                <w:sz w:val="22"/>
                <w:szCs w:val="22"/>
                <w:highlight w:val="none"/>
              </w:rPr>
              <w:fldChar w:fldCharType="end"/>
            </w:r>
            <w:r>
              <w:rPr>
                <w:sz w:val="22"/>
                <w:szCs w:val="22"/>
                <w:highlight w:val="none"/>
              </w:rPr>
              <w:t>w</w:t>
            </w:r>
            <w:r>
              <w:rPr>
                <w:sz w:val="22"/>
                <w:szCs w:val="22"/>
                <w:highlight w:val="none"/>
              </w:rPr>
              <w:fldChar w:fldCharType="begin"/>
            </w:r>
            <w:r>
              <w:rPr>
                <w:sz w:val="22"/>
                <w:szCs w:val="22"/>
                <w:highlight w:val="none"/>
              </w:rPr>
              <w:instrText xml:space="preserve"> HYPERLINK "http://www.creditchina.gov.cn/" </w:instrText>
            </w:r>
            <w:r>
              <w:rPr>
                <w:sz w:val="22"/>
                <w:szCs w:val="22"/>
                <w:highlight w:val="none"/>
              </w:rPr>
              <w:fldChar w:fldCharType="separate"/>
            </w:r>
            <w:r>
              <w:rPr>
                <w:rStyle w:val="25"/>
                <w:color w:val="auto"/>
                <w:sz w:val="22"/>
                <w:szCs w:val="22"/>
                <w:highlight w:val="none"/>
              </w:rPr>
              <w:t>w.creditchina.gov.c</w:t>
            </w:r>
            <w:r>
              <w:rPr>
                <w:sz w:val="22"/>
                <w:szCs w:val="22"/>
                <w:highlight w:val="none"/>
              </w:rPr>
              <w:fldChar w:fldCharType="end"/>
            </w:r>
            <w:r>
              <w:rPr>
                <w:sz w:val="22"/>
                <w:szCs w:val="22"/>
                <w:highlight w:val="none"/>
              </w:rPr>
              <w:t>n</w:t>
            </w:r>
            <w:r>
              <w:rPr>
                <w:rFonts w:hAnsi="宋体"/>
                <w:sz w:val="22"/>
                <w:szCs w:val="22"/>
                <w:highlight w:val="none"/>
              </w:rPr>
              <w:t>）中</w:t>
            </w:r>
            <w:r>
              <w:rPr>
                <w:rFonts w:hint="eastAsia"/>
                <w:sz w:val="22"/>
                <w:szCs w:val="22"/>
                <w:highlight w:val="none"/>
              </w:rPr>
              <w:t>被列入失信被执行人名单。</w:t>
            </w:r>
          </w:p>
        </w:tc>
        <w:tc>
          <w:tcPr>
            <w:tcW w:w="3968" w:type="dxa"/>
            <w:tcBorders>
              <w:top w:val="single" w:color="auto" w:sz="4" w:space="0"/>
              <w:left w:val="single" w:color="auto" w:sz="4" w:space="0"/>
              <w:bottom w:val="single" w:color="auto" w:sz="4" w:space="0"/>
              <w:right w:val="single" w:color="auto" w:sz="12" w:space="0"/>
            </w:tcBorders>
            <w:noWrap w:val="0"/>
            <w:vAlign w:val="center"/>
          </w:tcPr>
          <w:p>
            <w:pPr>
              <w:spacing w:line="400" w:lineRule="exact"/>
              <w:jc w:val="center"/>
              <w:rPr>
                <w:rFonts w:eastAsia="黑体"/>
                <w:sz w:val="22"/>
                <w:szCs w:val="22"/>
                <w:highlight w:val="none"/>
              </w:rPr>
            </w:pPr>
            <w:r>
              <w:rPr>
                <w:rFonts w:hint="eastAsia" w:ascii="宋体" w:hAnsi="宋体" w:cs="宋体"/>
                <w:sz w:val="22"/>
                <w:szCs w:val="22"/>
                <w:highlight w:val="none"/>
              </w:rPr>
              <w:t>□</w:t>
            </w:r>
            <w:r>
              <w:rPr>
                <w:rFonts w:hint="eastAsia" w:hAnsi="宋体"/>
                <w:sz w:val="22"/>
                <w:szCs w:val="22"/>
                <w:highlight w:val="none"/>
              </w:rPr>
              <w:t xml:space="preserve">有    </w:t>
            </w:r>
            <w:r>
              <w:rPr>
                <w:rFonts w:hint="eastAsia" w:ascii="宋体" w:hAnsi="宋体" w:cs="宋体"/>
                <w:sz w:val="22"/>
                <w:szCs w:val="22"/>
                <w:highlight w:val="none"/>
              </w:rPr>
              <w:t>□</w:t>
            </w:r>
            <w:r>
              <w:rPr>
                <w:rFonts w:hint="eastAsia" w:hAnsi="宋体"/>
                <w:sz w:val="22"/>
                <w:szCs w:val="22"/>
                <w:highlight w:val="none"/>
              </w:rPr>
              <w:t>无</w:t>
            </w:r>
          </w:p>
        </w:tc>
      </w:tr>
      <w:tr>
        <w:tblPrEx>
          <w:tblCellMar>
            <w:top w:w="0" w:type="dxa"/>
            <w:left w:w="108" w:type="dxa"/>
            <w:bottom w:w="0" w:type="dxa"/>
            <w:right w:w="108" w:type="dxa"/>
          </w:tblCellMar>
        </w:tblPrEx>
        <w:trPr>
          <w:trHeight w:val="828" w:hRule="atLeast"/>
          <w:jc w:val="center"/>
        </w:trPr>
        <w:tc>
          <w:tcPr>
            <w:tcW w:w="5104" w:type="dxa"/>
            <w:tcBorders>
              <w:top w:val="single" w:color="auto" w:sz="4" w:space="0"/>
              <w:left w:val="single" w:color="auto" w:sz="12" w:space="0"/>
              <w:bottom w:val="single" w:color="auto" w:sz="4" w:space="0"/>
              <w:right w:val="single" w:color="auto" w:sz="4" w:space="0"/>
            </w:tcBorders>
            <w:noWrap w:val="0"/>
            <w:vAlign w:val="center"/>
          </w:tcPr>
          <w:p>
            <w:pPr>
              <w:jc w:val="left"/>
              <w:rPr>
                <w:rFonts w:eastAsia="黑体"/>
                <w:sz w:val="22"/>
                <w:szCs w:val="22"/>
                <w:highlight w:val="none"/>
              </w:rPr>
            </w:pPr>
            <w:r>
              <w:rPr>
                <w:rFonts w:hint="eastAsia"/>
                <w:sz w:val="22"/>
                <w:szCs w:val="22"/>
                <w:highlight w:val="none"/>
              </w:rPr>
              <w:t>（3</w:t>
            </w:r>
            <w:r>
              <w:rPr>
                <w:rFonts w:hint="eastAsia" w:hAnsi="宋体"/>
                <w:sz w:val="22"/>
                <w:szCs w:val="22"/>
                <w:highlight w:val="none"/>
              </w:rPr>
              <w:t>）</w:t>
            </w:r>
            <w:r>
              <w:rPr>
                <w:rFonts w:hint="eastAsia"/>
                <w:sz w:val="22"/>
                <w:szCs w:val="22"/>
                <w:highlight w:val="none"/>
              </w:rPr>
              <w:t>最近三年内发生重大产品质量问题。</w:t>
            </w:r>
          </w:p>
        </w:tc>
        <w:tc>
          <w:tcPr>
            <w:tcW w:w="3968" w:type="dxa"/>
            <w:tcBorders>
              <w:top w:val="single" w:color="auto" w:sz="4" w:space="0"/>
              <w:left w:val="single" w:color="auto" w:sz="4" w:space="0"/>
              <w:bottom w:val="single" w:color="auto" w:sz="4" w:space="0"/>
              <w:right w:val="single" w:color="auto" w:sz="12" w:space="0"/>
            </w:tcBorders>
            <w:noWrap w:val="0"/>
            <w:vAlign w:val="center"/>
          </w:tcPr>
          <w:p>
            <w:pPr>
              <w:spacing w:line="400" w:lineRule="exact"/>
              <w:jc w:val="center"/>
              <w:rPr>
                <w:rFonts w:eastAsia="黑体"/>
                <w:sz w:val="22"/>
                <w:szCs w:val="22"/>
                <w:highlight w:val="none"/>
              </w:rPr>
            </w:pPr>
            <w:r>
              <w:rPr>
                <w:rFonts w:hint="eastAsia" w:ascii="宋体" w:hAnsi="宋体" w:cs="宋体"/>
                <w:sz w:val="22"/>
                <w:szCs w:val="22"/>
                <w:highlight w:val="none"/>
              </w:rPr>
              <w:t>□</w:t>
            </w:r>
            <w:r>
              <w:rPr>
                <w:rFonts w:hint="eastAsia" w:hAnsi="宋体"/>
                <w:sz w:val="22"/>
                <w:szCs w:val="22"/>
                <w:highlight w:val="none"/>
              </w:rPr>
              <w:t xml:space="preserve">有    </w:t>
            </w:r>
            <w:r>
              <w:rPr>
                <w:rFonts w:hint="eastAsia" w:ascii="宋体" w:hAnsi="宋体" w:cs="宋体"/>
                <w:sz w:val="22"/>
                <w:szCs w:val="22"/>
                <w:highlight w:val="none"/>
              </w:rPr>
              <w:t>□</w:t>
            </w:r>
            <w:r>
              <w:rPr>
                <w:rFonts w:hint="eastAsia" w:hAnsi="宋体"/>
                <w:sz w:val="22"/>
                <w:szCs w:val="22"/>
                <w:highlight w:val="none"/>
              </w:rPr>
              <w:t>无</w:t>
            </w:r>
          </w:p>
        </w:tc>
      </w:tr>
      <w:tr>
        <w:tblPrEx>
          <w:tblCellMar>
            <w:top w:w="0" w:type="dxa"/>
            <w:left w:w="108" w:type="dxa"/>
            <w:bottom w:w="0" w:type="dxa"/>
            <w:right w:w="108" w:type="dxa"/>
          </w:tblCellMar>
        </w:tblPrEx>
        <w:trPr>
          <w:trHeight w:val="875" w:hRule="atLeast"/>
          <w:jc w:val="center"/>
        </w:trPr>
        <w:tc>
          <w:tcPr>
            <w:tcW w:w="5104" w:type="dxa"/>
            <w:tcBorders>
              <w:top w:val="single" w:color="auto" w:sz="4" w:space="0"/>
              <w:left w:val="single" w:color="auto" w:sz="12" w:space="0"/>
              <w:bottom w:val="single" w:color="auto" w:sz="4" w:space="0"/>
              <w:right w:val="single" w:color="auto" w:sz="4" w:space="0"/>
            </w:tcBorders>
            <w:noWrap w:val="0"/>
            <w:vAlign w:val="center"/>
          </w:tcPr>
          <w:p>
            <w:pPr>
              <w:jc w:val="left"/>
              <w:rPr>
                <w:rFonts w:eastAsia="黑体"/>
                <w:sz w:val="22"/>
                <w:szCs w:val="22"/>
                <w:highlight w:val="none"/>
              </w:rPr>
            </w:pPr>
            <w:r>
              <w:rPr>
                <w:rFonts w:hint="eastAsia"/>
                <w:sz w:val="22"/>
                <w:szCs w:val="22"/>
                <w:highlight w:val="none"/>
              </w:rPr>
              <w:t>（4</w:t>
            </w:r>
            <w:r>
              <w:rPr>
                <w:rFonts w:hint="eastAsia" w:hAnsi="宋体"/>
                <w:sz w:val="22"/>
                <w:szCs w:val="22"/>
                <w:highlight w:val="none"/>
              </w:rPr>
              <w:t>）被责令停业</w:t>
            </w:r>
            <w:r>
              <w:rPr>
                <w:rFonts w:hint="eastAsia"/>
                <w:sz w:val="22"/>
                <w:szCs w:val="22"/>
                <w:highlight w:val="none"/>
              </w:rPr>
              <w:t>，暂扣或吊销执照，或吊销资质证书。</w:t>
            </w:r>
          </w:p>
        </w:tc>
        <w:tc>
          <w:tcPr>
            <w:tcW w:w="3968" w:type="dxa"/>
            <w:tcBorders>
              <w:top w:val="single" w:color="auto" w:sz="4" w:space="0"/>
              <w:left w:val="single" w:color="auto" w:sz="4" w:space="0"/>
              <w:bottom w:val="single" w:color="auto" w:sz="4" w:space="0"/>
              <w:right w:val="single" w:color="auto" w:sz="12" w:space="0"/>
            </w:tcBorders>
            <w:noWrap w:val="0"/>
            <w:vAlign w:val="center"/>
          </w:tcPr>
          <w:p>
            <w:pPr>
              <w:spacing w:line="400" w:lineRule="exact"/>
              <w:jc w:val="center"/>
              <w:rPr>
                <w:rFonts w:eastAsia="黑体"/>
                <w:sz w:val="22"/>
                <w:szCs w:val="22"/>
                <w:highlight w:val="none"/>
              </w:rPr>
            </w:pPr>
            <w:r>
              <w:rPr>
                <w:rFonts w:hint="eastAsia" w:ascii="宋体" w:hAnsi="宋体" w:cs="宋体"/>
                <w:sz w:val="22"/>
                <w:szCs w:val="22"/>
                <w:highlight w:val="none"/>
              </w:rPr>
              <w:t>□</w:t>
            </w:r>
            <w:r>
              <w:rPr>
                <w:rFonts w:hint="eastAsia" w:hAnsi="宋体"/>
                <w:sz w:val="22"/>
                <w:szCs w:val="22"/>
                <w:highlight w:val="none"/>
              </w:rPr>
              <w:t xml:space="preserve">有    </w:t>
            </w:r>
            <w:r>
              <w:rPr>
                <w:rFonts w:hint="eastAsia" w:ascii="宋体" w:hAnsi="宋体" w:cs="宋体"/>
                <w:sz w:val="22"/>
                <w:szCs w:val="22"/>
                <w:highlight w:val="none"/>
              </w:rPr>
              <w:t>□</w:t>
            </w:r>
            <w:r>
              <w:rPr>
                <w:rFonts w:hint="eastAsia" w:hAnsi="宋体"/>
                <w:sz w:val="22"/>
                <w:szCs w:val="22"/>
                <w:highlight w:val="none"/>
              </w:rPr>
              <w:t>无</w:t>
            </w:r>
          </w:p>
        </w:tc>
      </w:tr>
      <w:tr>
        <w:tblPrEx>
          <w:tblCellMar>
            <w:top w:w="0" w:type="dxa"/>
            <w:left w:w="108" w:type="dxa"/>
            <w:bottom w:w="0" w:type="dxa"/>
            <w:right w:w="108" w:type="dxa"/>
          </w:tblCellMar>
        </w:tblPrEx>
        <w:trPr>
          <w:trHeight w:val="882" w:hRule="atLeast"/>
          <w:jc w:val="center"/>
        </w:trPr>
        <w:tc>
          <w:tcPr>
            <w:tcW w:w="5104" w:type="dxa"/>
            <w:tcBorders>
              <w:top w:val="single" w:color="auto" w:sz="4" w:space="0"/>
              <w:left w:val="single" w:color="auto" w:sz="12" w:space="0"/>
              <w:bottom w:val="single" w:color="auto" w:sz="4" w:space="0"/>
              <w:right w:val="single" w:color="auto" w:sz="4" w:space="0"/>
            </w:tcBorders>
            <w:noWrap w:val="0"/>
            <w:vAlign w:val="center"/>
          </w:tcPr>
          <w:p>
            <w:pPr>
              <w:jc w:val="left"/>
              <w:rPr>
                <w:rFonts w:eastAsia="黑体"/>
                <w:sz w:val="22"/>
                <w:szCs w:val="22"/>
                <w:highlight w:val="none"/>
              </w:rPr>
            </w:pPr>
            <w:r>
              <w:rPr>
                <w:rFonts w:hint="eastAsia"/>
                <w:sz w:val="22"/>
                <w:szCs w:val="22"/>
                <w:highlight w:val="none"/>
              </w:rPr>
              <w:t>（5</w:t>
            </w:r>
            <w:r>
              <w:rPr>
                <w:rFonts w:hint="eastAsia" w:hAnsi="宋体"/>
                <w:sz w:val="22"/>
                <w:szCs w:val="22"/>
                <w:highlight w:val="none"/>
              </w:rPr>
              <w:t>）</w:t>
            </w:r>
            <w:r>
              <w:rPr>
                <w:rFonts w:hint="eastAsia"/>
                <w:sz w:val="22"/>
                <w:szCs w:val="22"/>
                <w:highlight w:val="none"/>
              </w:rPr>
              <w:t>进入清算程序，或被宣告破产，或其他丧失履约能力的情形</w:t>
            </w:r>
            <w:r>
              <w:rPr>
                <w:rFonts w:hint="eastAsia" w:hAnsi="宋体"/>
                <w:sz w:val="22"/>
                <w:szCs w:val="22"/>
                <w:highlight w:val="none"/>
              </w:rPr>
              <w:t>。</w:t>
            </w:r>
          </w:p>
        </w:tc>
        <w:tc>
          <w:tcPr>
            <w:tcW w:w="3968" w:type="dxa"/>
            <w:tcBorders>
              <w:top w:val="single" w:color="auto" w:sz="4" w:space="0"/>
              <w:left w:val="single" w:color="auto" w:sz="4" w:space="0"/>
              <w:bottom w:val="single" w:color="auto" w:sz="4" w:space="0"/>
              <w:right w:val="single" w:color="auto" w:sz="12" w:space="0"/>
            </w:tcBorders>
            <w:noWrap w:val="0"/>
            <w:vAlign w:val="center"/>
          </w:tcPr>
          <w:p>
            <w:pPr>
              <w:spacing w:line="400" w:lineRule="exact"/>
              <w:jc w:val="center"/>
              <w:rPr>
                <w:rFonts w:eastAsia="黑体"/>
                <w:sz w:val="22"/>
                <w:szCs w:val="22"/>
                <w:highlight w:val="none"/>
              </w:rPr>
            </w:pPr>
            <w:r>
              <w:rPr>
                <w:rFonts w:hint="eastAsia" w:ascii="宋体" w:hAnsi="宋体" w:cs="宋体"/>
                <w:sz w:val="22"/>
                <w:szCs w:val="22"/>
                <w:highlight w:val="none"/>
              </w:rPr>
              <w:t>□</w:t>
            </w:r>
            <w:r>
              <w:rPr>
                <w:rFonts w:hint="eastAsia" w:hAnsi="宋体"/>
                <w:sz w:val="22"/>
                <w:szCs w:val="22"/>
                <w:highlight w:val="none"/>
              </w:rPr>
              <w:t xml:space="preserve">有    </w:t>
            </w:r>
            <w:r>
              <w:rPr>
                <w:rFonts w:hint="eastAsia" w:ascii="宋体" w:hAnsi="宋体" w:cs="宋体"/>
                <w:sz w:val="22"/>
                <w:szCs w:val="22"/>
                <w:highlight w:val="none"/>
              </w:rPr>
              <w:t>□</w:t>
            </w:r>
            <w:r>
              <w:rPr>
                <w:rFonts w:hint="eastAsia" w:hAnsi="宋体"/>
                <w:sz w:val="22"/>
                <w:szCs w:val="22"/>
                <w:highlight w:val="none"/>
              </w:rPr>
              <w:t>无</w:t>
            </w:r>
          </w:p>
        </w:tc>
      </w:tr>
      <w:tr>
        <w:tblPrEx>
          <w:tblCellMar>
            <w:top w:w="0" w:type="dxa"/>
            <w:left w:w="108" w:type="dxa"/>
            <w:bottom w:w="0" w:type="dxa"/>
            <w:right w:w="108" w:type="dxa"/>
          </w:tblCellMar>
        </w:tblPrEx>
        <w:trPr>
          <w:trHeight w:val="587" w:hRule="atLeast"/>
          <w:jc w:val="center"/>
        </w:trPr>
        <w:tc>
          <w:tcPr>
            <w:tcW w:w="5104" w:type="dxa"/>
            <w:tcBorders>
              <w:top w:val="single" w:color="auto" w:sz="4" w:space="0"/>
              <w:left w:val="single" w:color="auto" w:sz="12" w:space="0"/>
              <w:bottom w:val="single" w:color="auto" w:sz="4" w:space="0"/>
              <w:right w:val="single" w:color="auto" w:sz="4" w:space="0"/>
            </w:tcBorders>
            <w:noWrap w:val="0"/>
            <w:vAlign w:val="center"/>
          </w:tcPr>
          <w:p>
            <w:pPr>
              <w:jc w:val="left"/>
              <w:rPr>
                <w:rFonts w:hint="eastAsia"/>
                <w:sz w:val="22"/>
                <w:szCs w:val="22"/>
                <w:highlight w:val="none"/>
              </w:rPr>
            </w:pPr>
            <w:r>
              <w:rPr>
                <w:rFonts w:hint="eastAsia"/>
                <w:sz w:val="22"/>
                <w:szCs w:val="22"/>
                <w:highlight w:val="none"/>
              </w:rPr>
              <w:t>（6）</w:t>
            </w:r>
            <w:r>
              <w:rPr>
                <w:sz w:val="22"/>
                <w:szCs w:val="21"/>
                <w:highlight w:val="none"/>
              </w:rPr>
              <w:t>投标人正受到在本招标项目所在地市级行政区域内取消投标资格的行政处罚。</w:t>
            </w:r>
          </w:p>
        </w:tc>
        <w:tc>
          <w:tcPr>
            <w:tcW w:w="3968" w:type="dxa"/>
            <w:tcBorders>
              <w:top w:val="single" w:color="auto" w:sz="4" w:space="0"/>
              <w:left w:val="single" w:color="auto" w:sz="4" w:space="0"/>
              <w:bottom w:val="single" w:color="auto" w:sz="4" w:space="0"/>
              <w:right w:val="single" w:color="auto" w:sz="12" w:space="0"/>
            </w:tcBorders>
            <w:noWrap w:val="0"/>
            <w:vAlign w:val="center"/>
          </w:tcPr>
          <w:p>
            <w:pPr>
              <w:spacing w:line="400" w:lineRule="exact"/>
              <w:jc w:val="center"/>
              <w:rPr>
                <w:rFonts w:hint="eastAsia" w:ascii="宋体" w:hAnsi="宋体" w:cs="宋体"/>
                <w:sz w:val="22"/>
                <w:szCs w:val="22"/>
                <w:highlight w:val="none"/>
              </w:rPr>
            </w:pPr>
            <w:r>
              <w:rPr>
                <w:rFonts w:hint="eastAsia" w:ascii="宋体" w:hAnsi="宋体" w:cs="宋体"/>
                <w:sz w:val="22"/>
                <w:szCs w:val="22"/>
                <w:highlight w:val="none"/>
              </w:rPr>
              <w:t>□</w:t>
            </w:r>
            <w:r>
              <w:rPr>
                <w:rFonts w:hint="eastAsia" w:hAnsi="宋体"/>
                <w:sz w:val="22"/>
                <w:szCs w:val="22"/>
                <w:highlight w:val="none"/>
              </w:rPr>
              <w:t xml:space="preserve">有    </w:t>
            </w:r>
            <w:r>
              <w:rPr>
                <w:rFonts w:hint="eastAsia" w:ascii="宋体" w:hAnsi="宋体" w:cs="宋体"/>
                <w:sz w:val="22"/>
                <w:szCs w:val="22"/>
                <w:highlight w:val="none"/>
              </w:rPr>
              <w:t>□</w:t>
            </w:r>
            <w:r>
              <w:rPr>
                <w:rFonts w:hint="eastAsia" w:hAnsi="宋体"/>
                <w:sz w:val="22"/>
                <w:szCs w:val="22"/>
                <w:highlight w:val="none"/>
              </w:rPr>
              <w:t>无</w:t>
            </w:r>
          </w:p>
        </w:tc>
      </w:tr>
      <w:tr>
        <w:tblPrEx>
          <w:tblCellMar>
            <w:top w:w="0" w:type="dxa"/>
            <w:left w:w="108" w:type="dxa"/>
            <w:bottom w:w="0" w:type="dxa"/>
            <w:right w:w="108" w:type="dxa"/>
          </w:tblCellMar>
        </w:tblPrEx>
        <w:trPr>
          <w:trHeight w:val="708" w:hRule="atLeast"/>
          <w:jc w:val="center"/>
        </w:trPr>
        <w:tc>
          <w:tcPr>
            <w:tcW w:w="5104" w:type="dxa"/>
            <w:tcBorders>
              <w:top w:val="single" w:color="auto" w:sz="4" w:space="0"/>
              <w:left w:val="single" w:color="auto" w:sz="12" w:space="0"/>
              <w:bottom w:val="single" w:color="auto" w:sz="4" w:space="0"/>
              <w:right w:val="single" w:color="auto" w:sz="4" w:space="0"/>
            </w:tcBorders>
            <w:noWrap w:val="0"/>
            <w:vAlign w:val="center"/>
          </w:tcPr>
          <w:p>
            <w:pPr>
              <w:wordWrap w:val="0"/>
              <w:jc w:val="left"/>
              <w:rPr>
                <w:rFonts w:hAnsi="宋体"/>
                <w:sz w:val="22"/>
                <w:szCs w:val="22"/>
                <w:highlight w:val="none"/>
              </w:rPr>
            </w:pPr>
            <w:r>
              <w:rPr>
                <w:rFonts w:hint="eastAsia" w:hAnsi="宋体"/>
                <w:sz w:val="22"/>
                <w:szCs w:val="22"/>
                <w:highlight w:val="none"/>
              </w:rPr>
              <w:t>（7）在</w:t>
            </w:r>
            <w:r>
              <w:rPr>
                <w:rFonts w:hint="eastAsia"/>
                <w:sz w:val="22"/>
                <w:szCs w:val="22"/>
                <w:highlight w:val="none"/>
              </w:rPr>
              <w:t>国家企业信用信息公示系统（http://www.gsxt.gov.cn）中被列入严重违法失信企业名单。</w:t>
            </w:r>
          </w:p>
        </w:tc>
        <w:tc>
          <w:tcPr>
            <w:tcW w:w="3968" w:type="dxa"/>
            <w:tcBorders>
              <w:top w:val="single" w:color="auto" w:sz="4" w:space="0"/>
              <w:left w:val="single" w:color="auto" w:sz="4" w:space="0"/>
              <w:bottom w:val="single" w:color="auto" w:sz="4" w:space="0"/>
              <w:right w:val="single" w:color="auto" w:sz="12" w:space="0"/>
            </w:tcBorders>
            <w:noWrap w:val="0"/>
            <w:vAlign w:val="center"/>
          </w:tcPr>
          <w:p>
            <w:pPr>
              <w:spacing w:line="400" w:lineRule="exact"/>
              <w:jc w:val="center"/>
              <w:rPr>
                <w:rFonts w:eastAsia="黑体"/>
                <w:sz w:val="22"/>
                <w:szCs w:val="22"/>
                <w:highlight w:val="none"/>
              </w:rPr>
            </w:pPr>
            <w:r>
              <w:rPr>
                <w:rFonts w:hint="eastAsia" w:ascii="宋体" w:hAnsi="宋体" w:cs="宋体"/>
                <w:sz w:val="22"/>
                <w:szCs w:val="22"/>
                <w:highlight w:val="none"/>
              </w:rPr>
              <w:t>□</w:t>
            </w:r>
            <w:r>
              <w:rPr>
                <w:rFonts w:hint="eastAsia" w:hAnsi="宋体"/>
                <w:sz w:val="22"/>
                <w:szCs w:val="22"/>
                <w:highlight w:val="none"/>
              </w:rPr>
              <w:t xml:space="preserve">有    </w:t>
            </w:r>
            <w:r>
              <w:rPr>
                <w:rFonts w:hint="eastAsia" w:ascii="宋体" w:hAnsi="宋体" w:cs="宋体"/>
                <w:sz w:val="22"/>
                <w:szCs w:val="22"/>
                <w:highlight w:val="none"/>
              </w:rPr>
              <w:t>□</w:t>
            </w:r>
            <w:r>
              <w:rPr>
                <w:rFonts w:hint="eastAsia" w:hAnsi="宋体"/>
                <w:sz w:val="22"/>
                <w:szCs w:val="22"/>
                <w:highlight w:val="none"/>
              </w:rPr>
              <w:t>无</w:t>
            </w:r>
          </w:p>
        </w:tc>
      </w:tr>
      <w:tr>
        <w:tblPrEx>
          <w:tblCellMar>
            <w:top w:w="0" w:type="dxa"/>
            <w:left w:w="108" w:type="dxa"/>
            <w:bottom w:w="0" w:type="dxa"/>
            <w:right w:w="108" w:type="dxa"/>
          </w:tblCellMar>
        </w:tblPrEx>
        <w:trPr>
          <w:trHeight w:val="708" w:hRule="atLeast"/>
          <w:jc w:val="center"/>
        </w:trPr>
        <w:tc>
          <w:tcPr>
            <w:tcW w:w="5104" w:type="dxa"/>
            <w:tcBorders>
              <w:top w:val="single" w:color="auto" w:sz="4" w:space="0"/>
              <w:left w:val="single" w:color="auto" w:sz="12" w:space="0"/>
              <w:bottom w:val="single" w:color="auto" w:sz="4" w:space="0"/>
              <w:right w:val="single" w:color="auto" w:sz="4" w:space="0"/>
            </w:tcBorders>
            <w:noWrap w:val="0"/>
            <w:vAlign w:val="center"/>
          </w:tcPr>
          <w:p>
            <w:pPr>
              <w:jc w:val="left"/>
              <w:rPr>
                <w:rFonts w:hint="eastAsia" w:hAnsi="宋体"/>
                <w:sz w:val="22"/>
                <w:szCs w:val="22"/>
                <w:highlight w:val="none"/>
              </w:rPr>
            </w:pPr>
            <w:r>
              <w:rPr>
                <w:rFonts w:hint="eastAsia" w:hAnsi="宋体"/>
                <w:sz w:val="22"/>
                <w:szCs w:val="22"/>
                <w:highlight w:val="none"/>
              </w:rPr>
              <w:t>（8）法律法规规定的其他情形。</w:t>
            </w:r>
          </w:p>
        </w:tc>
        <w:tc>
          <w:tcPr>
            <w:tcW w:w="3968" w:type="dxa"/>
            <w:tcBorders>
              <w:top w:val="single" w:color="auto" w:sz="4" w:space="0"/>
              <w:left w:val="single" w:color="auto" w:sz="4" w:space="0"/>
              <w:bottom w:val="single" w:color="auto" w:sz="4" w:space="0"/>
              <w:right w:val="single" w:color="auto" w:sz="12" w:space="0"/>
            </w:tcBorders>
            <w:noWrap w:val="0"/>
            <w:vAlign w:val="center"/>
          </w:tcPr>
          <w:p>
            <w:pPr>
              <w:spacing w:line="400" w:lineRule="exact"/>
              <w:jc w:val="center"/>
              <w:rPr>
                <w:rFonts w:hint="eastAsia" w:ascii="宋体" w:hAnsi="宋体" w:cs="宋体"/>
                <w:sz w:val="22"/>
                <w:szCs w:val="22"/>
                <w:highlight w:val="none"/>
              </w:rPr>
            </w:pPr>
          </w:p>
        </w:tc>
      </w:tr>
    </w:tbl>
    <w:p>
      <w:pPr>
        <w:pStyle w:val="7"/>
        <w:jc w:val="right"/>
        <w:rPr>
          <w:rFonts w:ascii="Times New Roman" w:hAnsi="Times New Roman" w:cs="Times New Roman"/>
          <w:sz w:val="24"/>
          <w:highlight w:val="none"/>
        </w:rPr>
      </w:pP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ascii="Times New Roman" w:hAnsi="Times New Roman" w:cs="Times New Roman"/>
          <w:sz w:val="24"/>
          <w:highlight w:val="none"/>
        </w:rPr>
      </w:pPr>
      <w:r>
        <w:rPr>
          <w:rFonts w:ascii="Times New Roman" w:hAnsi="Times New Roman" w:cs="Times New Roman"/>
          <w:sz w:val="24"/>
          <w:highlight w:val="none"/>
        </w:rPr>
        <w:t xml:space="preserve"> 供应商：</w:t>
      </w:r>
      <w:r>
        <w:rPr>
          <w:rFonts w:ascii="Times New Roman" w:hAnsi="Times New Roman" w:cs="Times New Roman"/>
          <w:sz w:val="24"/>
          <w:highlight w:val="none"/>
          <w:u w:val="single"/>
        </w:rPr>
        <w:t xml:space="preserve">                 </w:t>
      </w:r>
      <w:r>
        <w:rPr>
          <w:rFonts w:ascii="Times New Roman" w:hAnsi="Times New Roman" w:cs="Times New Roman"/>
          <w:sz w:val="24"/>
          <w:highlight w:val="none"/>
        </w:rPr>
        <w:t>(盖单位章)</w:t>
      </w:r>
    </w:p>
    <w:p>
      <w:pPr>
        <w:pStyle w:val="7"/>
        <w:keepNext w:val="0"/>
        <w:keepLines w:val="0"/>
        <w:pageBreakBefore w:val="0"/>
        <w:widowControl w:val="0"/>
        <w:kinsoku/>
        <w:wordWrap/>
        <w:overflowPunct/>
        <w:topLinePunct w:val="0"/>
        <w:autoSpaceDE/>
        <w:autoSpaceDN/>
        <w:bidi w:val="0"/>
        <w:adjustRightInd/>
        <w:snapToGrid/>
        <w:spacing w:line="560" w:lineRule="exact"/>
        <w:jc w:val="right"/>
        <w:textAlignment w:val="auto"/>
        <w:rPr>
          <w:highlight w:val="none"/>
          <w:u w:val="single"/>
        </w:r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年 </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日</w:t>
      </w:r>
    </w:p>
    <w:p>
      <w:pPr>
        <w:pStyle w:val="7"/>
        <w:rPr>
          <w:highlight w:val="none"/>
        </w:rPr>
      </w:pPr>
    </w:p>
    <w:p>
      <w:pPr>
        <w:pStyle w:val="7"/>
        <w:spacing w:line="440" w:lineRule="exact"/>
        <w:rPr>
          <w:rFonts w:ascii="Times New Roman" w:hAnsi="Times New Roman" w:cs="Times New Roman"/>
          <w:sz w:val="24"/>
          <w:highlight w:val="none"/>
        </w:rPr>
      </w:pPr>
    </w:p>
    <w:p>
      <w:pPr>
        <w:spacing w:line="400" w:lineRule="atLeast"/>
        <w:jc w:val="center"/>
        <w:rPr>
          <w:rFonts w:ascii="Times New Roman" w:hAnsi="Times New Roman" w:eastAsia="黑体" w:cs="Times New Roman"/>
          <w:sz w:val="27"/>
          <w:szCs w:val="27"/>
          <w:highlight w:val="none"/>
        </w:rPr>
      </w:pPr>
    </w:p>
    <w:p>
      <w:pPr>
        <w:spacing w:line="400" w:lineRule="atLeast"/>
        <w:jc w:val="center"/>
        <w:rPr>
          <w:rFonts w:ascii="Times New Roman" w:hAnsi="Times New Roman" w:eastAsia="黑体" w:cs="Times New Roman"/>
          <w:sz w:val="27"/>
          <w:szCs w:val="27"/>
          <w:highlight w:val="none"/>
        </w:rPr>
      </w:pPr>
    </w:p>
    <w:p>
      <w:pPr>
        <w:pStyle w:val="2"/>
        <w:rPr>
          <w:rFonts w:ascii="Times New Roman" w:hAnsi="Times New Roman" w:eastAsia="黑体" w:cs="Times New Roman"/>
          <w:sz w:val="27"/>
          <w:szCs w:val="27"/>
          <w:highlight w:val="none"/>
        </w:rPr>
      </w:pPr>
    </w:p>
    <w:p>
      <w:pPr>
        <w:rPr>
          <w:rFonts w:ascii="Times New Roman" w:hAnsi="Times New Roman" w:eastAsia="黑体" w:cs="Times New Roman"/>
          <w:sz w:val="27"/>
          <w:szCs w:val="27"/>
          <w:highlight w:val="none"/>
        </w:rPr>
      </w:pPr>
    </w:p>
    <w:p>
      <w:pPr>
        <w:pStyle w:val="2"/>
      </w:pPr>
    </w:p>
    <w:p>
      <w:pPr>
        <w:spacing w:line="400" w:lineRule="atLeast"/>
        <w:jc w:val="center"/>
        <w:rPr>
          <w:rFonts w:ascii="Times New Roman" w:hAnsi="Times New Roman" w:eastAsia="黑体" w:cs="Times New Roman"/>
          <w:sz w:val="27"/>
          <w:szCs w:val="27"/>
          <w:highlight w:val="none"/>
        </w:rPr>
      </w:pPr>
    </w:p>
    <w:p>
      <w:pPr>
        <w:spacing w:line="400" w:lineRule="atLeast"/>
        <w:jc w:val="center"/>
        <w:rPr>
          <w:rFonts w:ascii="Times New Roman" w:hAnsi="Times New Roman" w:eastAsia="黑体" w:cs="Times New Roman"/>
          <w:sz w:val="27"/>
          <w:szCs w:val="27"/>
          <w:highlight w:val="none"/>
        </w:rPr>
      </w:pPr>
    </w:p>
    <w:p>
      <w:pPr>
        <w:numPr>
          <w:ilvl w:val="0"/>
          <w:numId w:val="0"/>
        </w:numPr>
        <w:bidi w:val="0"/>
        <w:jc w:val="center"/>
        <w:rPr>
          <w:rFonts w:hint="eastAsia" w:ascii="Times New Roman"/>
          <w:color w:val="auto"/>
          <w:szCs w:val="24"/>
          <w:highlight w:val="none"/>
          <w:lang w:eastAsia="zh-CN"/>
        </w:rPr>
      </w:pPr>
      <w:bookmarkStart w:id="147" w:name="_Toc22303_WPSOffice_Level1"/>
      <w:bookmarkStart w:id="148" w:name="_Toc19034_WPSOffice_Level1"/>
      <w:bookmarkStart w:id="149" w:name="_Toc13165_WPSOffice_Level1"/>
      <w:bookmarkStart w:id="150" w:name="_Toc31963_WPSOffice_Level1"/>
      <w:bookmarkStart w:id="151" w:name="_Toc5957_WPSOffice_Level1"/>
      <w:bookmarkStart w:id="152" w:name="_Toc2428_WPSOffice_Level1"/>
      <w:r>
        <w:rPr>
          <w:rFonts w:hint="eastAsia" w:ascii="黑体" w:hAnsi="黑体" w:eastAsia="黑体" w:cs="黑体"/>
          <w:sz w:val="28"/>
          <w:szCs w:val="28"/>
          <w:highlight w:val="none"/>
          <w:lang w:val="en-US" w:eastAsia="zh-CN"/>
        </w:rPr>
        <w:t>六、维保及供货方案</w:t>
      </w:r>
    </w:p>
    <w:p>
      <w:pPr>
        <w:numPr>
          <w:ilvl w:val="0"/>
          <w:numId w:val="0"/>
        </w:numPr>
        <w:bidi w:val="0"/>
        <w:jc w:val="both"/>
        <w:rPr>
          <w:rFonts w:hint="eastAsia" w:ascii="Times New Roman"/>
          <w:color w:val="auto"/>
          <w:sz w:val="24"/>
          <w:szCs w:val="24"/>
          <w:highlight w:val="none"/>
          <w:lang w:eastAsia="zh-CN"/>
        </w:rPr>
      </w:pPr>
      <w:r>
        <w:rPr>
          <w:rFonts w:hint="eastAsia" w:ascii="Times New Roman"/>
          <w:color w:val="auto"/>
          <w:sz w:val="24"/>
          <w:szCs w:val="24"/>
          <w:highlight w:val="none"/>
          <w:lang w:val="en-US" w:eastAsia="zh-CN"/>
        </w:rPr>
        <w:t>供应商应按项目特点编制维保及供货方案</w:t>
      </w:r>
      <w:r>
        <w:rPr>
          <w:rFonts w:hint="eastAsia" w:ascii="Times New Roman"/>
          <w:color w:val="auto"/>
          <w:sz w:val="24"/>
          <w:szCs w:val="24"/>
          <w:highlight w:val="none"/>
          <w:lang w:eastAsia="zh-CN"/>
        </w:rPr>
        <w:t>，</w:t>
      </w:r>
      <w:r>
        <w:rPr>
          <w:rFonts w:hint="eastAsia" w:ascii="Times New Roman"/>
          <w:color w:val="auto"/>
          <w:sz w:val="24"/>
          <w:szCs w:val="24"/>
          <w:highlight w:val="none"/>
          <w:lang w:val="en-US" w:eastAsia="zh-CN"/>
        </w:rPr>
        <w:t>文字宜精炼，内容具有可行性、针对性</w:t>
      </w:r>
      <w:r>
        <w:rPr>
          <w:rFonts w:hint="eastAsia" w:ascii="Times New Roman"/>
          <w:color w:val="auto"/>
          <w:sz w:val="24"/>
          <w:szCs w:val="24"/>
          <w:highlight w:val="none"/>
          <w:lang w:eastAsia="zh-CN"/>
        </w:rPr>
        <w:t>。</w:t>
      </w:r>
    </w:p>
    <w:p>
      <w:pPr>
        <w:pStyle w:val="20"/>
        <w:rPr>
          <w:rFonts w:hint="eastAsia" w:ascii="Times New Roman" w:hAnsi="Times New Roman" w:eastAsia="黑体" w:cs="Times New Roman"/>
          <w:sz w:val="28"/>
          <w:szCs w:val="28"/>
          <w:highlight w:val="none"/>
        </w:rPr>
      </w:pPr>
    </w:p>
    <w:p>
      <w:pPr>
        <w:rPr>
          <w:rFonts w:hint="eastAsia" w:ascii="Times New Roman" w:hAnsi="Times New Roman" w:eastAsia="黑体" w:cs="Times New Roman"/>
          <w:sz w:val="28"/>
          <w:szCs w:val="28"/>
          <w:highlight w:val="none"/>
        </w:rPr>
      </w:pPr>
    </w:p>
    <w:p>
      <w:pPr>
        <w:pStyle w:val="20"/>
        <w:rPr>
          <w:rFonts w:hint="eastAsia" w:ascii="Times New Roman" w:hAnsi="Times New Roman" w:eastAsia="黑体" w:cs="Times New Roman"/>
          <w:sz w:val="28"/>
          <w:szCs w:val="28"/>
          <w:highlight w:val="none"/>
        </w:rPr>
      </w:pPr>
    </w:p>
    <w:p>
      <w:pPr>
        <w:rPr>
          <w:rFonts w:hint="eastAsia" w:ascii="Times New Roman" w:hAnsi="Times New Roman" w:eastAsia="黑体" w:cs="Times New Roman"/>
          <w:sz w:val="28"/>
          <w:szCs w:val="28"/>
          <w:highlight w:val="none"/>
        </w:rPr>
      </w:pPr>
    </w:p>
    <w:p>
      <w:pPr>
        <w:pStyle w:val="20"/>
        <w:rPr>
          <w:rFonts w:hint="eastAsia" w:ascii="Times New Roman" w:hAnsi="Times New Roman" w:eastAsia="黑体" w:cs="Times New Roman"/>
          <w:sz w:val="28"/>
          <w:szCs w:val="28"/>
          <w:highlight w:val="none"/>
        </w:rPr>
      </w:pPr>
    </w:p>
    <w:p>
      <w:pPr>
        <w:rPr>
          <w:rFonts w:hint="eastAsia" w:ascii="Times New Roman" w:hAnsi="Times New Roman" w:eastAsia="黑体" w:cs="Times New Roman"/>
          <w:sz w:val="28"/>
          <w:szCs w:val="28"/>
          <w:highlight w:val="none"/>
        </w:rPr>
      </w:pPr>
    </w:p>
    <w:p>
      <w:pPr>
        <w:pStyle w:val="20"/>
        <w:rPr>
          <w:rFonts w:hint="eastAsia" w:ascii="Times New Roman" w:hAnsi="Times New Roman" w:eastAsia="黑体" w:cs="Times New Roman"/>
          <w:sz w:val="28"/>
          <w:szCs w:val="28"/>
          <w:highlight w:val="none"/>
        </w:rPr>
      </w:pPr>
    </w:p>
    <w:p>
      <w:pPr>
        <w:rPr>
          <w:rFonts w:hint="eastAsia" w:ascii="Times New Roman" w:hAnsi="Times New Roman" w:eastAsia="黑体" w:cs="Times New Roman"/>
          <w:sz w:val="28"/>
          <w:szCs w:val="28"/>
          <w:highlight w:val="none"/>
        </w:rPr>
      </w:pPr>
    </w:p>
    <w:p>
      <w:pPr>
        <w:pStyle w:val="20"/>
        <w:rPr>
          <w:rFonts w:hint="eastAsia" w:ascii="Times New Roman" w:hAnsi="Times New Roman" w:eastAsia="黑体" w:cs="Times New Roman"/>
          <w:sz w:val="28"/>
          <w:szCs w:val="28"/>
          <w:highlight w:val="none"/>
        </w:rPr>
      </w:pPr>
    </w:p>
    <w:p>
      <w:pPr>
        <w:rPr>
          <w:rFonts w:hint="eastAsia"/>
          <w:highlight w:val="none"/>
        </w:rPr>
      </w:pPr>
    </w:p>
    <w:p>
      <w:pPr>
        <w:pStyle w:val="20"/>
        <w:rPr>
          <w:rFonts w:hint="eastAsia"/>
          <w:highlight w:val="none"/>
        </w:rPr>
      </w:pPr>
    </w:p>
    <w:p>
      <w:pPr>
        <w:pStyle w:val="20"/>
        <w:rPr>
          <w:rFonts w:hint="eastAsia"/>
          <w:highlight w:val="none"/>
        </w:rPr>
      </w:pPr>
    </w:p>
    <w:p>
      <w:pPr>
        <w:rPr>
          <w:rFonts w:hint="eastAsia"/>
          <w:highlight w:val="none"/>
        </w:rPr>
      </w:pPr>
    </w:p>
    <w:p>
      <w:pPr>
        <w:pStyle w:val="20"/>
        <w:rPr>
          <w:rFonts w:hint="eastAsia"/>
          <w:highlight w:val="none"/>
        </w:rPr>
      </w:pPr>
    </w:p>
    <w:p>
      <w:pPr>
        <w:rPr>
          <w:rFonts w:hint="eastAsia"/>
          <w:highlight w:val="none"/>
        </w:rPr>
      </w:pPr>
    </w:p>
    <w:p>
      <w:pPr>
        <w:pStyle w:val="20"/>
        <w:rPr>
          <w:rFonts w:hint="eastAsia"/>
          <w:highlight w:val="none"/>
        </w:rPr>
      </w:pPr>
    </w:p>
    <w:p>
      <w:pPr>
        <w:rPr>
          <w:rFonts w:hint="eastAsia"/>
          <w:highlight w:val="none"/>
        </w:rPr>
      </w:pPr>
    </w:p>
    <w:p>
      <w:pPr>
        <w:pStyle w:val="20"/>
        <w:rPr>
          <w:rFonts w:hint="eastAsia"/>
          <w:highlight w:val="none"/>
        </w:rPr>
      </w:pPr>
    </w:p>
    <w:p>
      <w:pPr>
        <w:rPr>
          <w:rFonts w:hint="eastAsia"/>
          <w:highlight w:val="none"/>
        </w:rPr>
      </w:pPr>
    </w:p>
    <w:p>
      <w:pPr>
        <w:pStyle w:val="20"/>
        <w:rPr>
          <w:rFonts w:hint="eastAsia"/>
          <w:highlight w:val="none"/>
        </w:rPr>
      </w:pPr>
    </w:p>
    <w:p>
      <w:pPr>
        <w:rPr>
          <w:rFonts w:hint="eastAsia"/>
          <w:highlight w:val="none"/>
        </w:rPr>
      </w:pPr>
    </w:p>
    <w:p>
      <w:pPr>
        <w:rPr>
          <w:rFonts w:hint="eastAsia"/>
          <w:highlight w:val="none"/>
        </w:rPr>
      </w:pPr>
      <w:r>
        <w:rPr>
          <w:rFonts w:hint="eastAsia"/>
          <w:highlight w:val="none"/>
        </w:rPr>
        <w:br w:type="page"/>
      </w:r>
    </w:p>
    <w:p>
      <w:pPr>
        <w:pStyle w:val="8"/>
        <w:jc w:val="center"/>
        <w:rPr>
          <w:rFonts w:hint="default" w:ascii="Times New Roman" w:hAnsi="Times New Roman" w:eastAsia="黑体" w:cs="Times New Roman"/>
          <w:kern w:val="2"/>
          <w:sz w:val="28"/>
          <w:szCs w:val="28"/>
          <w:highlight w:val="none"/>
          <w:lang w:val="en-US" w:eastAsia="zh-CN" w:bidi="ar-SA"/>
        </w:rPr>
      </w:pPr>
      <w:r>
        <w:rPr>
          <w:rFonts w:hint="eastAsia" w:ascii="Times New Roman" w:hAnsi="Times New Roman" w:eastAsia="黑体" w:cs="Times New Roman"/>
          <w:kern w:val="2"/>
          <w:sz w:val="28"/>
          <w:szCs w:val="28"/>
          <w:highlight w:val="none"/>
          <w:lang w:val="en-US" w:eastAsia="zh-CN" w:bidi="ar-SA"/>
        </w:rPr>
        <w:t>七、综合实力证明</w:t>
      </w:r>
    </w:p>
    <w:p>
      <w:pPr>
        <w:rPr>
          <w:rFonts w:hint="eastAsia"/>
          <w:highlight w:val="none"/>
        </w:rPr>
      </w:pPr>
      <w:r>
        <w:rPr>
          <w:rFonts w:hint="eastAsia"/>
          <w:highlight w:val="none"/>
        </w:rPr>
        <w:br w:type="page"/>
      </w:r>
    </w:p>
    <w:p>
      <w:pPr>
        <w:spacing w:line="440" w:lineRule="exact"/>
        <w:jc w:val="center"/>
        <w:rPr>
          <w:rFonts w:hint="eastAsia" w:ascii="Times New Roman" w:hAnsi="Times New Roman" w:eastAsia="黑体" w:cs="Times New Roman"/>
          <w:sz w:val="28"/>
          <w:szCs w:val="28"/>
          <w:highlight w:val="none"/>
          <w:lang w:val="en-US" w:eastAsia="zh-CN"/>
        </w:rPr>
      </w:pPr>
      <w:r>
        <w:rPr>
          <w:rFonts w:hint="eastAsia" w:ascii="Times New Roman" w:hAnsi="Times New Roman" w:eastAsia="黑体" w:cs="Times New Roman"/>
          <w:sz w:val="28"/>
          <w:szCs w:val="28"/>
          <w:highlight w:val="none"/>
          <w:lang w:val="en-US" w:eastAsia="zh-CN"/>
        </w:rPr>
        <w:t>八、体系认证</w:t>
      </w:r>
    </w:p>
    <w:p>
      <w:pPr>
        <w:pStyle w:val="28"/>
        <w:rPr>
          <w:rFonts w:hint="eastAsia"/>
          <w:highlight w:val="none"/>
        </w:rPr>
      </w:pPr>
    </w:p>
    <w:p>
      <w:pPr>
        <w:pStyle w:val="28"/>
        <w:rPr>
          <w:rFonts w:hint="eastAsia"/>
          <w:highlight w:val="none"/>
        </w:rPr>
      </w:pPr>
    </w:p>
    <w:p>
      <w:pPr>
        <w:rPr>
          <w:rFonts w:hint="eastAsia"/>
          <w:highlight w:val="none"/>
        </w:rPr>
      </w:pPr>
      <w:r>
        <w:rPr>
          <w:rFonts w:hint="eastAsia"/>
          <w:highlight w:val="none"/>
        </w:rPr>
        <w:br w:type="page"/>
      </w:r>
    </w:p>
    <w:p>
      <w:pPr>
        <w:pStyle w:val="28"/>
        <w:rPr>
          <w:rFonts w:hint="eastAsia"/>
          <w:highlight w:val="none"/>
        </w:rPr>
      </w:pPr>
    </w:p>
    <w:p>
      <w:pPr>
        <w:spacing w:line="440" w:lineRule="exact"/>
        <w:jc w:val="center"/>
        <w:rPr>
          <w:rFonts w:hint="default" w:ascii="Times New Roman" w:hAnsi="Times New Roman" w:eastAsia="黑体" w:cs="Times New Roman"/>
          <w:sz w:val="28"/>
          <w:szCs w:val="28"/>
          <w:highlight w:val="none"/>
          <w:lang w:val="en-US" w:eastAsia="zh-CN"/>
        </w:rPr>
      </w:pPr>
      <w:r>
        <w:rPr>
          <w:rFonts w:hint="eastAsia" w:ascii="Times New Roman" w:hAnsi="Times New Roman" w:eastAsia="黑体" w:cs="Times New Roman"/>
          <w:sz w:val="28"/>
          <w:szCs w:val="28"/>
          <w:highlight w:val="none"/>
          <w:lang w:val="en-US" w:eastAsia="zh-CN"/>
        </w:rPr>
        <w:t>九</w:t>
      </w:r>
      <w:r>
        <w:rPr>
          <w:rFonts w:ascii="Times New Roman" w:hAnsi="Times New Roman" w:eastAsia="黑体" w:cs="Times New Roman"/>
          <w:sz w:val="28"/>
          <w:szCs w:val="28"/>
          <w:highlight w:val="none"/>
        </w:rPr>
        <w:t>、</w:t>
      </w:r>
      <w:bookmarkEnd w:id="147"/>
      <w:bookmarkEnd w:id="148"/>
      <w:bookmarkEnd w:id="149"/>
      <w:bookmarkEnd w:id="150"/>
      <w:bookmarkEnd w:id="151"/>
      <w:bookmarkEnd w:id="152"/>
      <w:r>
        <w:rPr>
          <w:rFonts w:hint="eastAsia" w:ascii="Times New Roman" w:hAnsi="Times New Roman" w:eastAsia="黑体" w:cs="Times New Roman"/>
          <w:sz w:val="28"/>
          <w:szCs w:val="28"/>
          <w:highlight w:val="none"/>
          <w:lang w:val="en-US" w:eastAsia="zh-CN"/>
        </w:rPr>
        <w:t>保证金回执</w:t>
      </w:r>
    </w:p>
    <w:p>
      <w:pPr>
        <w:pStyle w:val="28"/>
        <w:rPr>
          <w:rFonts w:hint="default" w:ascii="Times New Roman" w:hAnsi="Times New Roman"/>
          <w:color w:val="auto"/>
          <w:szCs w:val="28"/>
          <w:highlight w:val="none"/>
        </w:rPr>
      </w:pPr>
    </w:p>
    <w:p>
      <w:pPr>
        <w:pStyle w:val="28"/>
        <w:numPr>
          <w:ilvl w:val="0"/>
          <w:numId w:val="0"/>
        </w:numPr>
        <w:rPr>
          <w:rFonts w:hint="eastAsia" w:ascii="宋体" w:hAnsi="宋体" w:eastAsia="宋体" w:cs="宋体"/>
          <w:color w:val="auto"/>
          <w:szCs w:val="28"/>
          <w:highlight w:val="none"/>
        </w:rPr>
      </w:pPr>
      <w:r>
        <w:rPr>
          <w:rFonts w:hint="eastAsia" w:ascii="宋体" w:hAnsi="宋体" w:eastAsia="宋体" w:cs="宋体"/>
          <w:color w:val="auto"/>
          <w:szCs w:val="28"/>
          <w:highlight w:val="none"/>
        </w:rPr>
        <w:t>响应保证金的银行凭证（电汇回单）复印件等。</w:t>
      </w:r>
    </w:p>
    <w:p>
      <w:pPr>
        <w:spacing w:line="440" w:lineRule="exact"/>
        <w:jc w:val="center"/>
        <w:rPr>
          <w:rFonts w:ascii="Times New Roman" w:hAnsi="Times New Roman" w:eastAsia="黑体" w:cs="Times New Roman"/>
          <w:sz w:val="20"/>
          <w:szCs w:val="20"/>
          <w:highlight w:val="none"/>
        </w:rPr>
      </w:pPr>
    </w:p>
    <w:p>
      <w:pPr>
        <w:spacing w:line="440" w:lineRule="exact"/>
        <w:jc w:val="center"/>
        <w:rPr>
          <w:rFonts w:ascii="Times New Roman" w:hAnsi="Times New Roman" w:eastAsia="黑体" w:cs="Times New Roman"/>
          <w:sz w:val="28"/>
          <w:szCs w:val="28"/>
          <w:highlight w:val="none"/>
        </w:rPr>
      </w:pPr>
    </w:p>
    <w:p>
      <w:pPr>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rPr>
        <w:br w:type="page"/>
      </w:r>
    </w:p>
    <w:p>
      <w:pPr>
        <w:spacing w:line="440" w:lineRule="exact"/>
        <w:jc w:val="center"/>
        <w:rPr>
          <w:rFonts w:hint="eastAsia" w:ascii="Times New Roman" w:hAnsi="Times New Roman" w:eastAsia="黑体" w:cs="Times New Roman"/>
          <w:sz w:val="28"/>
          <w:szCs w:val="28"/>
          <w:highlight w:val="none"/>
          <w:lang w:val="en-US" w:eastAsia="zh-CN"/>
        </w:rPr>
      </w:pPr>
      <w:r>
        <w:rPr>
          <w:rFonts w:hint="eastAsia" w:ascii="Times New Roman" w:hAnsi="Times New Roman" w:eastAsia="黑体" w:cs="Times New Roman"/>
          <w:sz w:val="28"/>
          <w:szCs w:val="28"/>
          <w:highlight w:val="none"/>
          <w:lang w:val="en-US" w:eastAsia="zh-CN"/>
        </w:rPr>
        <w:t>十</w:t>
      </w:r>
      <w:r>
        <w:rPr>
          <w:rFonts w:ascii="Times New Roman" w:hAnsi="Times New Roman" w:eastAsia="黑体" w:cs="Times New Roman"/>
          <w:sz w:val="28"/>
          <w:szCs w:val="28"/>
          <w:highlight w:val="none"/>
        </w:rPr>
        <w:t>、</w:t>
      </w:r>
      <w:r>
        <w:rPr>
          <w:rFonts w:hint="eastAsia" w:ascii="Times New Roman" w:hAnsi="Times New Roman" w:eastAsia="黑体" w:cs="Times New Roman"/>
          <w:sz w:val="28"/>
          <w:szCs w:val="28"/>
          <w:highlight w:val="none"/>
          <w:lang w:val="en-US" w:eastAsia="zh-CN"/>
        </w:rPr>
        <w:t>其他</w:t>
      </w:r>
    </w:p>
    <w:p>
      <w:pPr>
        <w:pStyle w:val="2"/>
        <w:rPr>
          <w:rFonts w:hint="eastAsia" w:eastAsia="黑体"/>
          <w:lang w:val="en-US" w:eastAsia="zh-CN"/>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pStyle w:val="20"/>
        <w:rPr>
          <w:rFonts w:ascii="Times New Roman" w:hAnsi="Times New Roman" w:eastAsia="黑体" w:cs="Times New Roman"/>
          <w:sz w:val="28"/>
          <w:szCs w:val="28"/>
          <w:highlight w:val="none"/>
        </w:rPr>
      </w:pPr>
    </w:p>
    <w:p>
      <w:pPr>
        <w:rPr>
          <w:rFonts w:ascii="Times New Roman" w:hAnsi="Times New Roman" w:eastAsia="黑体" w:cs="Times New Roman"/>
          <w:sz w:val="28"/>
          <w:szCs w:val="28"/>
          <w:highlight w:val="none"/>
        </w:rPr>
      </w:pPr>
    </w:p>
    <w:p>
      <w:pPr>
        <w:pStyle w:val="2"/>
        <w:rPr>
          <w:rFonts w:ascii="Times New Roman" w:hAnsi="Times New Roman" w:eastAsia="黑体" w:cs="Times New Roman"/>
          <w:sz w:val="28"/>
          <w:szCs w:val="28"/>
          <w:highlight w:val="none"/>
        </w:rPr>
      </w:pPr>
    </w:p>
    <w:p/>
    <w:p>
      <w:pP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36"/>
          <w:szCs w:val="36"/>
          <w:highlight w:val="none"/>
        </w:rPr>
      </w:pPr>
      <w:r>
        <w:rPr>
          <w:rFonts w:hint="eastAsia" w:ascii="宋体" w:hAnsi="宋体" w:eastAsia="宋体" w:cs="宋体"/>
          <w:b/>
          <w:bCs/>
          <w:kern w:val="0"/>
          <w:sz w:val="36"/>
          <w:szCs w:val="36"/>
          <w:highlight w:val="none"/>
          <w:u w:val="single"/>
          <w:lang w:val="en-US" w:eastAsia="zh-CN"/>
        </w:rPr>
        <w:t xml:space="preserve">                                  </w:t>
      </w:r>
      <w:r>
        <w:rPr>
          <w:rFonts w:hint="eastAsia" w:ascii="宋体" w:hAnsi="宋体" w:eastAsia="宋体" w:cs="宋体"/>
          <w:b/>
          <w:bCs/>
          <w:kern w:val="0"/>
          <w:sz w:val="36"/>
          <w:szCs w:val="36"/>
          <w:highlight w:val="none"/>
          <w:u w:val="none"/>
          <w:lang w:val="en-US" w:eastAsia="zh-CN"/>
        </w:rPr>
        <w:t>项目</w:t>
      </w:r>
      <w:r>
        <w:rPr>
          <w:rFonts w:ascii="Times New Roman" w:hAnsi="Times New Roman" w:eastAsia="黑体" w:cs="Times New Roman"/>
          <w:sz w:val="36"/>
          <w:szCs w:val="36"/>
          <w:highlight w:val="none"/>
        </w:rPr>
        <w:t>询比</w:t>
      </w:r>
    </w:p>
    <w:p>
      <w:pPr>
        <w:spacing w:line="440" w:lineRule="exact"/>
        <w:rPr>
          <w:rFonts w:ascii="Times New Roman" w:hAnsi="Times New Roman" w:eastAsia="黑体" w:cs="Times New Roman"/>
          <w:sz w:val="20"/>
          <w:szCs w:val="20"/>
          <w:highlight w:val="none"/>
        </w:rPr>
      </w:pPr>
      <w:r>
        <w:rPr>
          <w:rFonts w:ascii="Times New Roman" w:hAnsi="Times New Roman" w:eastAsia="黑体" w:cs="Times New Roman"/>
          <w:sz w:val="20"/>
          <w:szCs w:val="20"/>
          <w:highlight w:val="none"/>
        </w:rPr>
        <w:t xml:space="preserve"> </w:t>
      </w:r>
    </w:p>
    <w:p>
      <w:pPr>
        <w:spacing w:line="440" w:lineRule="exact"/>
        <w:rPr>
          <w:rFonts w:ascii="Times New Roman" w:hAnsi="Times New Roman" w:eastAsia="黑体" w:cs="Times New Roman"/>
          <w:sz w:val="40"/>
          <w:szCs w:val="40"/>
          <w:highlight w:val="none"/>
        </w:rPr>
      </w:pPr>
    </w:p>
    <w:p>
      <w:pPr>
        <w:spacing w:line="440" w:lineRule="exact"/>
        <w:jc w:val="center"/>
        <w:rPr>
          <w:rFonts w:ascii="Times New Roman" w:hAnsi="Times New Roman" w:eastAsia="黑体" w:cs="Times New Roman"/>
          <w:sz w:val="40"/>
          <w:szCs w:val="40"/>
          <w:highlight w:val="none"/>
        </w:rPr>
      </w:pPr>
    </w:p>
    <w:p>
      <w:pPr>
        <w:spacing w:line="440" w:lineRule="exact"/>
        <w:jc w:val="center"/>
        <w:rPr>
          <w:rFonts w:ascii="Times New Roman" w:hAnsi="Times New Roman" w:eastAsia="黑体" w:cs="Times New Roman"/>
          <w:sz w:val="40"/>
          <w:szCs w:val="40"/>
          <w:highlight w:val="none"/>
        </w:rPr>
      </w:pPr>
    </w:p>
    <w:p>
      <w:pPr>
        <w:spacing w:line="440" w:lineRule="exact"/>
        <w:jc w:val="center"/>
        <w:rPr>
          <w:rFonts w:ascii="Times New Roman" w:hAnsi="Times New Roman" w:eastAsia="黑体" w:cs="Times New Roman"/>
          <w:sz w:val="40"/>
          <w:szCs w:val="40"/>
          <w:highlight w:val="none"/>
        </w:rPr>
      </w:pPr>
    </w:p>
    <w:p>
      <w:pPr>
        <w:jc w:val="center"/>
        <w:rPr>
          <w:rFonts w:ascii="Times New Roman" w:hAnsi="Times New Roman" w:eastAsia="黑体" w:cs="Times New Roman"/>
          <w:sz w:val="50"/>
          <w:szCs w:val="50"/>
          <w:highlight w:val="none"/>
        </w:rPr>
      </w:pPr>
      <w:r>
        <w:rPr>
          <w:rFonts w:ascii="Times New Roman" w:hAnsi="Times New Roman" w:eastAsia="黑体" w:cs="Times New Roman"/>
          <w:sz w:val="50"/>
          <w:szCs w:val="50"/>
          <w:highlight w:val="none"/>
        </w:rPr>
        <w:t>响  应  文  件</w:t>
      </w:r>
    </w:p>
    <w:p>
      <w:pPr>
        <w:pStyle w:val="20"/>
        <w:ind w:firstLine="2560" w:firstLineChars="800"/>
        <w:jc w:val="both"/>
        <w:rPr>
          <w:rFonts w:hint="eastAsia" w:ascii="Times New Roman" w:hAnsi="Times New Roman" w:eastAsia="黑体" w:cs="Times New Roman"/>
          <w:kern w:val="2"/>
          <w:sz w:val="32"/>
          <w:szCs w:val="32"/>
          <w:highlight w:val="none"/>
          <w:lang w:val="en-US" w:eastAsia="zh-CN" w:bidi="ar-SA"/>
        </w:rPr>
      </w:pPr>
      <w:r>
        <w:rPr>
          <w:rFonts w:hint="eastAsia" w:ascii="Times New Roman" w:hAnsi="Times New Roman" w:eastAsia="黑体" w:cs="Times New Roman"/>
          <w:kern w:val="2"/>
          <w:sz w:val="32"/>
          <w:szCs w:val="32"/>
          <w:highlight w:val="none"/>
          <w:lang w:val="en-US" w:eastAsia="zh-CN" w:bidi="ar-SA"/>
        </w:rPr>
        <w:t>（报价文件）</w:t>
      </w:r>
    </w:p>
    <w:p>
      <w:pPr>
        <w:spacing w:line="440" w:lineRule="exact"/>
        <w:rPr>
          <w:rFonts w:ascii="Times New Roman" w:hAnsi="Times New Roman" w:eastAsia="黑体" w:cs="Times New Roman"/>
          <w:sz w:val="20"/>
          <w:szCs w:val="20"/>
          <w:highlight w:val="none"/>
        </w:rPr>
      </w:pPr>
    </w:p>
    <w:p>
      <w:pPr>
        <w:spacing w:line="440" w:lineRule="exact"/>
        <w:rPr>
          <w:rFonts w:ascii="Times New Roman" w:hAnsi="Times New Roman" w:eastAsia="黑体" w:cs="Times New Roman"/>
          <w:sz w:val="20"/>
          <w:szCs w:val="20"/>
          <w:highlight w:val="none"/>
        </w:rPr>
      </w:pPr>
    </w:p>
    <w:p>
      <w:pPr>
        <w:spacing w:line="440" w:lineRule="exact"/>
        <w:rPr>
          <w:rFonts w:ascii="Times New Roman" w:hAnsi="Times New Roman" w:eastAsia="黑体" w:cs="Times New Roman"/>
          <w:sz w:val="20"/>
          <w:szCs w:val="20"/>
          <w:highlight w:val="none"/>
        </w:rPr>
      </w:pPr>
    </w:p>
    <w:p>
      <w:pPr>
        <w:spacing w:line="440" w:lineRule="exact"/>
        <w:rPr>
          <w:rFonts w:ascii="Times New Roman" w:hAnsi="Times New Roman" w:eastAsia="黑体" w:cs="Times New Roman"/>
          <w:sz w:val="20"/>
          <w:szCs w:val="20"/>
          <w:highlight w:val="none"/>
        </w:rPr>
      </w:pPr>
    </w:p>
    <w:p>
      <w:pPr>
        <w:spacing w:line="440" w:lineRule="exact"/>
        <w:rPr>
          <w:rFonts w:ascii="Times New Roman" w:hAnsi="Times New Roman" w:eastAsia="黑体" w:cs="Times New Roman"/>
          <w:sz w:val="20"/>
          <w:szCs w:val="20"/>
          <w:highlight w:val="none"/>
        </w:rPr>
      </w:pPr>
    </w:p>
    <w:p>
      <w:pPr>
        <w:spacing w:line="440" w:lineRule="exact"/>
        <w:rPr>
          <w:rFonts w:ascii="Times New Roman" w:hAnsi="Times New Roman" w:eastAsia="黑体" w:cs="Times New Roman"/>
          <w:sz w:val="20"/>
          <w:szCs w:val="20"/>
          <w:highlight w:val="none"/>
        </w:rPr>
      </w:pPr>
    </w:p>
    <w:p>
      <w:pPr>
        <w:spacing w:line="440" w:lineRule="exact"/>
        <w:rPr>
          <w:rFonts w:ascii="Times New Roman" w:hAnsi="Times New Roman" w:eastAsia="黑体" w:cs="Times New Roman"/>
          <w:sz w:val="20"/>
          <w:szCs w:val="20"/>
          <w:highlight w:val="none"/>
        </w:rPr>
      </w:pPr>
    </w:p>
    <w:p>
      <w:pPr>
        <w:spacing w:line="440" w:lineRule="exact"/>
        <w:rPr>
          <w:rFonts w:ascii="Times New Roman" w:hAnsi="Times New Roman" w:eastAsia="黑体" w:cs="Times New Roman"/>
          <w:sz w:val="20"/>
          <w:szCs w:val="20"/>
          <w:highlight w:val="none"/>
        </w:rPr>
      </w:pPr>
    </w:p>
    <w:p>
      <w:pPr>
        <w:spacing w:line="440" w:lineRule="exact"/>
        <w:rPr>
          <w:rFonts w:ascii="Times New Roman" w:hAnsi="Times New Roman" w:eastAsia="黑体" w:cs="Times New Roman"/>
          <w:sz w:val="20"/>
          <w:szCs w:val="20"/>
          <w:highlight w:val="none"/>
        </w:rPr>
      </w:pPr>
    </w:p>
    <w:p>
      <w:pPr>
        <w:spacing w:line="440" w:lineRule="exact"/>
        <w:rPr>
          <w:rFonts w:ascii="Times New Roman" w:hAnsi="Times New Roman" w:eastAsia="黑体" w:cs="Times New Roman"/>
          <w:sz w:val="20"/>
          <w:szCs w:val="20"/>
          <w:highlight w:val="none"/>
        </w:rPr>
      </w:pPr>
    </w:p>
    <w:p>
      <w:pPr>
        <w:spacing w:line="440" w:lineRule="exact"/>
        <w:rPr>
          <w:rFonts w:ascii="Times New Roman" w:hAnsi="Times New Roman" w:eastAsia="黑体" w:cs="Times New Roman"/>
          <w:sz w:val="20"/>
          <w:szCs w:val="20"/>
          <w:highlight w:val="none"/>
        </w:rPr>
      </w:pPr>
    </w:p>
    <w:p>
      <w:pPr>
        <w:spacing w:line="440" w:lineRule="exact"/>
        <w:rPr>
          <w:rFonts w:ascii="Times New Roman" w:hAnsi="Times New Roman" w:eastAsia="黑体" w:cs="Times New Roman"/>
          <w:sz w:val="20"/>
          <w:szCs w:val="20"/>
          <w:highlight w:val="none"/>
        </w:rPr>
      </w:pPr>
    </w:p>
    <w:p>
      <w:pPr>
        <w:spacing w:line="440" w:lineRule="exact"/>
        <w:jc w:val="center"/>
        <w:rPr>
          <w:rFonts w:ascii="Times New Roman" w:hAnsi="Times New Roman" w:eastAsia="黑体" w:cs="Times New Roman"/>
          <w:sz w:val="28"/>
          <w:szCs w:val="28"/>
          <w:highlight w:val="none"/>
        </w:rPr>
      </w:pPr>
      <w:r>
        <w:rPr>
          <w:rFonts w:hint="eastAsia" w:ascii="Times New Roman" w:hAnsi="Times New Roman" w:eastAsia="黑体" w:cs="Times New Roman"/>
          <w:sz w:val="28"/>
          <w:szCs w:val="28"/>
          <w:highlight w:val="none"/>
          <w:lang w:val="en-US" w:eastAsia="zh-CN"/>
        </w:rPr>
        <w:t xml:space="preserve">     </w:t>
      </w:r>
      <w:r>
        <w:rPr>
          <w:rFonts w:ascii="Times New Roman" w:hAnsi="Times New Roman" w:eastAsia="黑体" w:cs="Times New Roman"/>
          <w:sz w:val="28"/>
          <w:szCs w:val="28"/>
          <w:highlight w:val="none"/>
        </w:rPr>
        <w:t>供应商：</w:t>
      </w:r>
      <w:r>
        <w:rPr>
          <w:rFonts w:ascii="Times New Roman" w:hAnsi="Times New Roman" w:eastAsia="黑体" w:cs="Times New Roman"/>
          <w:sz w:val="28"/>
          <w:szCs w:val="28"/>
          <w:highlight w:val="none"/>
          <w:u w:val="single"/>
        </w:rPr>
        <w:t xml:space="preserve">           </w:t>
      </w:r>
      <w:r>
        <w:rPr>
          <w:rFonts w:hint="eastAsia" w:ascii="Times New Roman" w:hAnsi="Times New Roman" w:eastAsia="黑体" w:cs="Times New Roman"/>
          <w:sz w:val="28"/>
          <w:szCs w:val="28"/>
          <w:highlight w:val="none"/>
          <w:u w:val="single"/>
          <w:lang w:val="en-US" w:eastAsia="zh-CN"/>
        </w:rPr>
        <w:t xml:space="preserve">     </w:t>
      </w:r>
      <w:r>
        <w:rPr>
          <w:rFonts w:ascii="Times New Roman" w:hAnsi="Times New Roman" w:eastAsia="黑体" w:cs="Times New Roman"/>
          <w:sz w:val="28"/>
          <w:szCs w:val="28"/>
          <w:highlight w:val="none"/>
          <w:u w:val="single"/>
        </w:rPr>
        <w:t xml:space="preserve"> (全称、盖单位章) </w:t>
      </w:r>
    </w:p>
    <w:p>
      <w:pPr>
        <w:spacing w:line="440" w:lineRule="exact"/>
        <w:ind w:firstLine="2158" w:firstLineChars="771"/>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r>
        <w:rPr>
          <w:rFonts w:hint="eastAsia" w:ascii="Times New Roman" w:hAnsi="Times New Roman" w:eastAsia="黑体" w:cs="Times New Roman"/>
          <w:sz w:val="28"/>
          <w:szCs w:val="28"/>
          <w:highlight w:val="none"/>
          <w:u w:val="none"/>
          <w:lang w:val="en-US" w:eastAsia="zh-CN"/>
        </w:rPr>
        <w:t xml:space="preserve">          </w:t>
      </w:r>
      <w:r>
        <w:rPr>
          <w:rFonts w:ascii="Times New Roman" w:hAnsi="Times New Roman" w:eastAsia="黑体" w:cs="Times New Roman"/>
          <w:sz w:val="28"/>
          <w:szCs w:val="28"/>
          <w:highlight w:val="none"/>
          <w:u w:val="single"/>
        </w:rPr>
        <w:t xml:space="preserve">       </w:t>
      </w:r>
      <w:r>
        <w:rPr>
          <w:rFonts w:ascii="Times New Roman" w:hAnsi="Times New Roman" w:eastAsia="黑体" w:cs="Times New Roman"/>
          <w:sz w:val="28"/>
          <w:szCs w:val="28"/>
          <w:highlight w:val="none"/>
        </w:rPr>
        <w:t>年</w:t>
      </w:r>
      <w:r>
        <w:rPr>
          <w:rFonts w:ascii="Times New Roman" w:hAnsi="Times New Roman" w:eastAsia="黑体" w:cs="Times New Roman"/>
          <w:sz w:val="28"/>
          <w:szCs w:val="28"/>
          <w:highlight w:val="none"/>
          <w:u w:val="single"/>
        </w:rPr>
        <w:t xml:space="preserve">     </w:t>
      </w:r>
      <w:r>
        <w:rPr>
          <w:rFonts w:ascii="Times New Roman" w:hAnsi="Times New Roman" w:eastAsia="黑体" w:cs="Times New Roman"/>
          <w:sz w:val="28"/>
          <w:szCs w:val="28"/>
          <w:highlight w:val="none"/>
        </w:rPr>
        <w:t>月</w:t>
      </w:r>
      <w:r>
        <w:rPr>
          <w:rFonts w:ascii="Times New Roman" w:hAnsi="Times New Roman" w:eastAsia="黑体" w:cs="Times New Roman"/>
          <w:sz w:val="28"/>
          <w:szCs w:val="28"/>
          <w:highlight w:val="none"/>
          <w:u w:val="single"/>
        </w:rPr>
        <w:t xml:space="preserve">     </w:t>
      </w:r>
      <w:r>
        <w:rPr>
          <w:rFonts w:ascii="Times New Roman" w:hAnsi="Times New Roman" w:eastAsia="黑体" w:cs="Times New Roman"/>
          <w:sz w:val="28"/>
          <w:szCs w:val="28"/>
          <w:highlight w:val="none"/>
        </w:rPr>
        <w:t>日</w:t>
      </w:r>
    </w:p>
    <w:p>
      <w:pPr>
        <w:spacing w:line="440" w:lineRule="exact"/>
        <w:rPr>
          <w:rFonts w:ascii="Times New Roman" w:hAnsi="Times New Roman" w:eastAsia="黑体" w:cs="Times New Roman"/>
          <w:sz w:val="28"/>
          <w:szCs w:val="28"/>
          <w:highlight w:val="none"/>
        </w:rPr>
      </w:pPr>
    </w:p>
    <w:p>
      <w:pPr>
        <w:spacing w:line="440" w:lineRule="exact"/>
        <w:jc w:val="center"/>
        <w:rPr>
          <w:rFonts w:ascii="Times New Roman" w:hAnsi="Times New Roman" w:eastAsia="黑体" w:cs="Times New Roman"/>
          <w:sz w:val="28"/>
          <w:szCs w:val="28"/>
          <w:highlight w:val="none"/>
        </w:rPr>
      </w:pPr>
      <w:r>
        <w:rPr>
          <w:rFonts w:ascii="Times New Roman" w:hAnsi="Times New Roman" w:eastAsia="黑体" w:cs="Times New Roman"/>
          <w:sz w:val="20"/>
          <w:szCs w:val="20"/>
          <w:highlight w:val="none"/>
        </w:rPr>
        <w:br w:type="page"/>
      </w:r>
      <w:r>
        <w:rPr>
          <w:rFonts w:ascii="Times New Roman" w:hAnsi="Times New Roman" w:eastAsia="黑体" w:cs="Times New Roman"/>
          <w:sz w:val="28"/>
          <w:szCs w:val="28"/>
          <w:highlight w:val="none"/>
        </w:rPr>
        <w:t>目     录</w:t>
      </w:r>
    </w:p>
    <w:p>
      <w:pPr>
        <w:spacing w:line="440" w:lineRule="exact"/>
        <w:rPr>
          <w:rFonts w:ascii="Times New Roman" w:hAnsi="Times New Roman" w:eastAsia="黑体" w:cs="Times New Roman"/>
          <w:sz w:val="20"/>
          <w:szCs w:val="20"/>
          <w:highlight w:val="none"/>
        </w:rPr>
      </w:pPr>
    </w:p>
    <w:p>
      <w:pPr>
        <w:spacing w:line="440" w:lineRule="exact"/>
        <w:ind w:firstLine="1200" w:firstLineChars="500"/>
        <w:rPr>
          <w:rFonts w:ascii="Times New Roman" w:hAnsi="Times New Roman" w:eastAsia="黑体" w:cs="Times New Roman"/>
          <w:sz w:val="24"/>
          <w:szCs w:val="24"/>
          <w:highlight w:val="none"/>
        </w:rPr>
      </w:pPr>
      <w:r>
        <w:rPr>
          <w:rFonts w:ascii="Times New Roman" w:hAnsi="Times New Roman" w:eastAsia="黑体" w:cs="Times New Roman"/>
          <w:sz w:val="24"/>
          <w:szCs w:val="24"/>
          <w:highlight w:val="none"/>
        </w:rPr>
        <w:t>一、报价函</w:t>
      </w:r>
    </w:p>
    <w:p>
      <w:pPr>
        <w:spacing w:line="440" w:lineRule="exact"/>
        <w:ind w:firstLine="1200" w:firstLineChars="500"/>
        <w:rPr>
          <w:rFonts w:ascii="Times New Roman" w:hAnsi="Times New Roman" w:eastAsia="黑体" w:cs="Times New Roman"/>
          <w:sz w:val="24"/>
          <w:szCs w:val="24"/>
          <w:highlight w:val="none"/>
        </w:rPr>
      </w:pPr>
      <w:r>
        <w:rPr>
          <w:rFonts w:ascii="Times New Roman" w:hAnsi="Times New Roman" w:eastAsia="黑体" w:cs="Times New Roman"/>
          <w:sz w:val="24"/>
          <w:szCs w:val="24"/>
          <w:highlight w:val="none"/>
        </w:rPr>
        <w:t>二、已标价</w:t>
      </w:r>
      <w:r>
        <w:rPr>
          <w:rFonts w:hint="eastAsia" w:ascii="Times New Roman" w:hAnsi="Times New Roman" w:eastAsia="黑体" w:cs="Times New Roman"/>
          <w:sz w:val="24"/>
          <w:szCs w:val="24"/>
          <w:highlight w:val="none"/>
        </w:rPr>
        <w:t>的工程量</w:t>
      </w:r>
      <w:r>
        <w:rPr>
          <w:rFonts w:ascii="Times New Roman" w:hAnsi="Times New Roman" w:eastAsia="黑体" w:cs="Times New Roman"/>
          <w:sz w:val="24"/>
          <w:szCs w:val="24"/>
          <w:highlight w:val="none"/>
        </w:rPr>
        <w:t>清单</w:t>
      </w:r>
    </w:p>
    <w:p>
      <w:pPr>
        <w:spacing w:line="440" w:lineRule="exact"/>
        <w:ind w:left="1619" w:leftChars="771"/>
        <w:rPr>
          <w:rFonts w:ascii="Times New Roman" w:hAnsi="Times New Roman" w:eastAsia="黑体" w:cs="Times New Roman"/>
          <w:sz w:val="24"/>
          <w:highlight w:val="none"/>
        </w:rPr>
      </w:pPr>
    </w:p>
    <w:p>
      <w:pPr>
        <w:spacing w:line="440" w:lineRule="exact"/>
        <w:ind w:left="1619" w:leftChars="771"/>
        <w:rPr>
          <w:rFonts w:ascii="Times New Roman" w:hAnsi="Times New Roman" w:eastAsia="黑体" w:cs="Times New Roman"/>
          <w:sz w:val="24"/>
          <w:highlight w:val="none"/>
        </w:rPr>
      </w:pPr>
    </w:p>
    <w:p>
      <w:pPr>
        <w:spacing w:line="440" w:lineRule="exact"/>
        <w:jc w:val="center"/>
        <w:rPr>
          <w:rFonts w:ascii="Times New Roman" w:hAnsi="Times New Roman" w:eastAsia="黑体" w:cs="Times New Roman"/>
          <w:sz w:val="28"/>
          <w:szCs w:val="28"/>
          <w:highlight w:val="none"/>
        </w:rPr>
      </w:pPr>
    </w:p>
    <w:p>
      <w:pPr>
        <w:pStyle w:val="20"/>
        <w:rPr>
          <w:rFonts w:ascii="Times New Roman" w:hAnsi="Times New Roman" w:eastAsia="黑体" w:cs="Times New Roman"/>
          <w:sz w:val="28"/>
          <w:szCs w:val="28"/>
          <w:highlight w:val="none"/>
        </w:rPr>
      </w:pPr>
    </w:p>
    <w:p>
      <w:pPr>
        <w:rPr>
          <w:rFonts w:ascii="Times New Roman" w:hAnsi="Times New Roman" w:eastAsia="黑体" w:cs="Times New Roman"/>
          <w:sz w:val="28"/>
          <w:szCs w:val="28"/>
          <w:highlight w:val="none"/>
        </w:rPr>
      </w:pPr>
    </w:p>
    <w:p>
      <w:pPr>
        <w:pStyle w:val="20"/>
        <w:rPr>
          <w:rFonts w:ascii="Times New Roman" w:hAnsi="Times New Roman" w:eastAsia="黑体" w:cs="Times New Roman"/>
          <w:sz w:val="28"/>
          <w:szCs w:val="28"/>
          <w:highlight w:val="none"/>
        </w:rPr>
      </w:pPr>
    </w:p>
    <w:p>
      <w:pPr>
        <w:rPr>
          <w:rFonts w:ascii="Times New Roman" w:hAnsi="Times New Roman" w:eastAsia="黑体" w:cs="Times New Roman"/>
          <w:sz w:val="28"/>
          <w:szCs w:val="28"/>
          <w:highlight w:val="none"/>
        </w:rPr>
      </w:pPr>
    </w:p>
    <w:p>
      <w:pPr>
        <w:pStyle w:val="20"/>
        <w:rPr>
          <w:rFonts w:ascii="Times New Roman" w:hAnsi="Times New Roman" w:eastAsia="黑体" w:cs="Times New Roman"/>
          <w:sz w:val="28"/>
          <w:szCs w:val="28"/>
          <w:highlight w:val="none"/>
        </w:rPr>
      </w:pPr>
    </w:p>
    <w:p>
      <w:pPr>
        <w:rPr>
          <w:rFonts w:ascii="Times New Roman" w:hAnsi="Times New Roman" w:eastAsia="黑体" w:cs="Times New Roman"/>
          <w:sz w:val="28"/>
          <w:szCs w:val="28"/>
          <w:highlight w:val="none"/>
        </w:rPr>
      </w:pPr>
    </w:p>
    <w:p>
      <w:pPr>
        <w:pStyle w:val="20"/>
        <w:rPr>
          <w:rFonts w:ascii="Times New Roman" w:hAnsi="Times New Roman" w:eastAsia="黑体" w:cs="Times New Roman"/>
          <w:sz w:val="28"/>
          <w:szCs w:val="28"/>
          <w:highlight w:val="none"/>
        </w:rPr>
      </w:pPr>
    </w:p>
    <w:p>
      <w:pPr>
        <w:rPr>
          <w:rFonts w:ascii="Times New Roman" w:hAnsi="Times New Roman" w:eastAsia="黑体" w:cs="Times New Roman"/>
          <w:sz w:val="28"/>
          <w:szCs w:val="28"/>
          <w:highlight w:val="none"/>
        </w:rPr>
      </w:pPr>
    </w:p>
    <w:p>
      <w:pPr>
        <w:pStyle w:val="20"/>
        <w:rPr>
          <w:rFonts w:ascii="Times New Roman" w:hAnsi="Times New Roman" w:eastAsia="黑体" w:cs="Times New Roman"/>
          <w:sz w:val="28"/>
          <w:szCs w:val="28"/>
          <w:highlight w:val="none"/>
        </w:rPr>
      </w:pPr>
    </w:p>
    <w:p>
      <w:pPr>
        <w:rPr>
          <w:rFonts w:ascii="Times New Roman" w:hAnsi="Times New Roman" w:eastAsia="黑体" w:cs="Times New Roman"/>
          <w:sz w:val="28"/>
          <w:szCs w:val="28"/>
          <w:highlight w:val="none"/>
        </w:rPr>
      </w:pPr>
    </w:p>
    <w:p>
      <w:pPr>
        <w:pStyle w:val="20"/>
        <w:rPr>
          <w:rFonts w:ascii="Times New Roman" w:hAnsi="Times New Roman" w:eastAsia="黑体" w:cs="Times New Roman"/>
          <w:sz w:val="28"/>
          <w:szCs w:val="28"/>
          <w:highlight w:val="none"/>
        </w:rPr>
      </w:pPr>
    </w:p>
    <w:p>
      <w:pPr>
        <w:rPr>
          <w:rFonts w:ascii="Times New Roman" w:hAnsi="Times New Roman" w:eastAsia="黑体" w:cs="Times New Roman"/>
          <w:sz w:val="28"/>
          <w:szCs w:val="28"/>
          <w:highlight w:val="none"/>
        </w:rPr>
      </w:pPr>
    </w:p>
    <w:p>
      <w:pPr>
        <w:pStyle w:val="20"/>
        <w:rPr>
          <w:rFonts w:ascii="Times New Roman" w:hAnsi="Times New Roman" w:eastAsia="黑体" w:cs="Times New Roman"/>
          <w:sz w:val="28"/>
          <w:szCs w:val="28"/>
          <w:highlight w:val="none"/>
        </w:rPr>
      </w:pPr>
    </w:p>
    <w:p>
      <w:pPr>
        <w:rPr>
          <w:rFonts w:ascii="Times New Roman" w:hAnsi="Times New Roman" w:eastAsia="黑体" w:cs="Times New Roman"/>
          <w:sz w:val="28"/>
          <w:szCs w:val="28"/>
          <w:highlight w:val="none"/>
        </w:rPr>
      </w:pPr>
    </w:p>
    <w:p>
      <w:pPr>
        <w:pStyle w:val="20"/>
        <w:rPr>
          <w:highlight w:val="none"/>
        </w:rPr>
      </w:pPr>
    </w:p>
    <w:p>
      <w:pPr>
        <w:rPr>
          <w:highlight w:val="none"/>
        </w:rPr>
      </w:pPr>
    </w:p>
    <w:p>
      <w:pPr>
        <w:rPr>
          <w:highlight w:val="none"/>
        </w:rPr>
      </w:pPr>
    </w:p>
    <w:p>
      <w:pPr>
        <w:numPr>
          <w:ilvl w:val="0"/>
          <w:numId w:val="0"/>
        </w:numPr>
        <w:spacing w:line="440" w:lineRule="exact"/>
        <w:jc w:val="center"/>
        <w:rPr>
          <w:highlight w:val="none"/>
        </w:rPr>
      </w:pPr>
      <w:r>
        <w:rPr>
          <w:rFonts w:hint="eastAsia" w:ascii="Times New Roman" w:hAnsi="Times New Roman" w:eastAsia="黑体" w:cs="Times New Roman"/>
          <w:sz w:val="28"/>
          <w:szCs w:val="28"/>
          <w:highlight w:val="none"/>
          <w:lang w:val="en-US" w:eastAsia="zh-CN"/>
        </w:rPr>
        <w:t>一、</w:t>
      </w:r>
      <w:r>
        <w:rPr>
          <w:rFonts w:ascii="Times New Roman" w:hAnsi="Times New Roman" w:eastAsia="黑体" w:cs="Times New Roman"/>
          <w:sz w:val="28"/>
          <w:szCs w:val="28"/>
          <w:highlight w:val="none"/>
        </w:rPr>
        <w:t>报价函</w:t>
      </w:r>
    </w:p>
    <w:p>
      <w:pPr>
        <w:pStyle w:val="20"/>
        <w:rPr>
          <w:highlight w:val="none"/>
        </w:rPr>
      </w:pPr>
    </w:p>
    <w:p>
      <w:pPr>
        <w:spacing w:line="440" w:lineRule="exact"/>
        <w:rPr>
          <w:rFonts w:ascii="Times New Roman" w:hAnsi="Times New Roman" w:cs="Times New Roman"/>
          <w:sz w:val="24"/>
          <w:highlight w:val="none"/>
        </w:rPr>
      </w:pPr>
      <w:r>
        <w:rPr>
          <w:rFonts w:ascii="Times New Roman" w:hAnsi="Times New Roman" w:cs="Times New Roman"/>
          <w:sz w:val="24"/>
          <w:highlight w:val="none"/>
        </w:rPr>
        <w:t xml:space="preserve"> </w:t>
      </w:r>
      <w:r>
        <w:rPr>
          <w:rFonts w:ascii="Times New Roman" w:hAnsi="Times New Roman" w:cs="Times New Roman"/>
          <w:sz w:val="24"/>
          <w:highlight w:val="none"/>
          <w:u w:val="single"/>
        </w:rPr>
        <w:t xml:space="preserve">                        </w:t>
      </w:r>
      <w:r>
        <w:rPr>
          <w:rFonts w:ascii="Times New Roman" w:hAnsi="Times New Roman" w:cs="Times New Roman"/>
          <w:sz w:val="24"/>
          <w:highlight w:val="none"/>
        </w:rPr>
        <w:t>(采购人名称)：</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highlight w:val="none"/>
        </w:rPr>
      </w:pPr>
      <w:r>
        <w:rPr>
          <w:rFonts w:ascii="Times New Roman" w:hAnsi="Times New Roman" w:cs="Times New Roman"/>
          <w:sz w:val="24"/>
          <w:highlight w:val="none"/>
        </w:rPr>
        <w:t>1．我方已仔细研究了</w:t>
      </w:r>
      <w:r>
        <w:rPr>
          <w:rFonts w:ascii="Times New Roman" w:hAnsi="Times New Roman" w:cs="Times New Roman"/>
          <w:sz w:val="24"/>
          <w:highlight w:val="none"/>
          <w:u w:val="single"/>
        </w:rPr>
        <w:t xml:space="preserve">      </w:t>
      </w:r>
      <w:r>
        <w:rPr>
          <w:rFonts w:hint="eastAsia" w:ascii="Times New Roman" w:hAnsi="Times New Roman" w:cs="Times New Roman"/>
          <w:sz w:val="24"/>
          <w:highlight w:val="none"/>
          <w:u w:val="single"/>
          <w:lang w:val="en-US" w:eastAsia="zh-CN"/>
        </w:rPr>
        <w:t xml:space="preserve">         </w:t>
      </w:r>
      <w:r>
        <w:rPr>
          <w:rFonts w:ascii="Times New Roman" w:hAnsi="Times New Roman" w:cs="Times New Roman"/>
          <w:sz w:val="24"/>
          <w:highlight w:val="none"/>
        </w:rPr>
        <w:t>(项目名称)询比文件的全部内容(含补遗书第</w:t>
      </w:r>
      <w:r>
        <w:rPr>
          <w:rFonts w:hint="eastAsia" w:ascii="Times New Roman" w:hAnsi="Times New Roman" w:cs="Times New Roman"/>
          <w:sz w:val="24"/>
          <w:highlight w:val="none"/>
          <w:u w:val="single"/>
          <w:lang w:val="en-US" w:eastAsia="zh-CN"/>
        </w:rPr>
        <w:t xml:space="preserve">    </w:t>
      </w:r>
      <w:r>
        <w:rPr>
          <w:rFonts w:ascii="Times New Roman" w:hAnsi="Times New Roman" w:cs="Times New Roman"/>
          <w:sz w:val="24"/>
          <w:highlight w:val="none"/>
        </w:rPr>
        <w:t>号至第</w:t>
      </w:r>
      <w:r>
        <w:rPr>
          <w:rFonts w:hint="eastAsia" w:ascii="Times New Roman" w:hAnsi="Times New Roman" w:cs="Times New Roman"/>
          <w:sz w:val="24"/>
          <w:highlight w:val="none"/>
          <w:u w:val="single"/>
          <w:lang w:val="en-US" w:eastAsia="zh-CN"/>
        </w:rPr>
        <w:t xml:space="preserve">   </w:t>
      </w:r>
      <w:r>
        <w:rPr>
          <w:rFonts w:ascii="Times New Roman" w:hAnsi="Times New Roman" w:cs="Times New Roman"/>
          <w:sz w:val="24"/>
          <w:highlight w:val="none"/>
        </w:rPr>
        <w:t>号)，愿意以人民币(大写)</w:t>
      </w:r>
      <w:r>
        <w:rPr>
          <w:rFonts w:ascii="Times New Roman" w:hAnsi="Times New Roman" w:cs="Times New Roman"/>
          <w:sz w:val="24"/>
          <w:highlight w:val="none"/>
          <w:u w:val="single"/>
        </w:rPr>
        <w:t xml:space="preserve">  </w:t>
      </w:r>
      <w:r>
        <w:rPr>
          <w:rFonts w:hint="eastAsia" w:ascii="Times New Roman" w:hAnsi="Times New Roman" w:cs="Times New Roman"/>
          <w:sz w:val="24"/>
          <w:highlight w:val="none"/>
          <w:u w:val="single"/>
          <w:lang w:val="en-US" w:eastAsia="zh-CN"/>
        </w:rPr>
        <w:t xml:space="preserve">    </w:t>
      </w:r>
      <w:r>
        <w:rPr>
          <w:rFonts w:ascii="Times New Roman" w:hAnsi="Times New Roman" w:cs="Times New Roman"/>
          <w:sz w:val="24"/>
          <w:highlight w:val="none"/>
          <w:u w:val="single"/>
        </w:rPr>
        <w:t xml:space="preserve">   </w:t>
      </w:r>
      <w:r>
        <w:rPr>
          <w:rFonts w:ascii="Times New Roman" w:hAnsi="Times New Roman" w:cs="Times New Roman"/>
          <w:sz w:val="24"/>
          <w:highlight w:val="none"/>
        </w:rPr>
        <w:t>(小写：¥</w:t>
      </w:r>
      <w:r>
        <w:rPr>
          <w:rFonts w:ascii="Times New Roman" w:hAnsi="Times New Roman" w:cs="Times New Roman"/>
          <w:sz w:val="24"/>
          <w:highlight w:val="none"/>
          <w:u w:val="single"/>
        </w:rPr>
        <w:t xml:space="preserve">       </w:t>
      </w:r>
      <w:r>
        <w:rPr>
          <w:rFonts w:ascii="Times New Roman" w:hAnsi="Times New Roman" w:cs="Times New Roman"/>
          <w:sz w:val="24"/>
          <w:highlight w:val="none"/>
        </w:rPr>
        <w:t>)的总报价</w:t>
      </w:r>
      <w:r>
        <w:rPr>
          <w:rFonts w:hint="eastAsia" w:ascii="Times New Roman" w:hAnsi="Times New Roman" w:cs="Times New Roman"/>
          <w:sz w:val="24"/>
          <w:highlight w:val="none"/>
          <w:lang w:val="en-US" w:eastAsia="zh-CN"/>
        </w:rPr>
        <w:t>提供招标文件要求的货物、技术服务和质保售后服务，并按合同约定履行义务</w:t>
      </w:r>
      <w:r>
        <w:rPr>
          <w:rFonts w:ascii="Times New Roman" w:hAnsi="Times New Roman" w:cs="Times New Roman"/>
          <w:sz w:val="24"/>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highlight w:val="none"/>
        </w:rPr>
      </w:pPr>
      <w:r>
        <w:rPr>
          <w:rFonts w:ascii="Times New Roman" w:hAnsi="Times New Roman" w:cs="Times New Roman"/>
          <w:sz w:val="24"/>
          <w:highlight w:val="none"/>
        </w:rPr>
        <w:t>2．我方承诺在响应有效期内不修改、撤销响应文件。</w:t>
      </w:r>
      <w:r>
        <w:rPr>
          <w:rFonts w:hint="eastAsia" w:ascii="Times New Roman" w:hAnsi="Times New Roman" w:cs="Times New Roman"/>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highlight w:val="none"/>
        </w:rPr>
      </w:pPr>
      <w:r>
        <w:rPr>
          <w:rFonts w:hint="eastAsia" w:ascii="Times New Roman" w:hAnsi="Times New Roman" w:cs="Times New Roman"/>
          <w:sz w:val="24"/>
          <w:highlight w:val="none"/>
          <w:lang w:val="en-US" w:eastAsia="zh-CN"/>
        </w:rPr>
        <w:t>3</w:t>
      </w:r>
      <w:r>
        <w:rPr>
          <w:rFonts w:ascii="Times New Roman" w:hAnsi="Times New Roman" w:cs="Times New Roman"/>
          <w:sz w:val="24"/>
          <w:highlight w:val="none"/>
        </w:rPr>
        <w:t>．我方在此声明，所递交的响应文件及有关资料内容完整、真实和准确。</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highlight w:val="none"/>
        </w:rPr>
      </w:pPr>
      <w:r>
        <w:rPr>
          <w:rFonts w:hint="eastAsia" w:ascii="Times New Roman" w:hAnsi="Times New Roman" w:cs="Times New Roman"/>
          <w:sz w:val="24"/>
          <w:highlight w:val="none"/>
          <w:lang w:val="en-US" w:eastAsia="zh-CN"/>
        </w:rPr>
        <w:t>4</w:t>
      </w:r>
      <w:r>
        <w:rPr>
          <w:rFonts w:ascii="Times New Roman" w:hAnsi="Times New Roman" w:cs="Times New Roman"/>
          <w:sz w:val="24"/>
          <w:highlight w:val="none"/>
        </w:rPr>
        <w:t>．</w:t>
      </w:r>
      <w:r>
        <w:rPr>
          <w:rFonts w:hint="eastAsia" w:ascii="Times New Roman" w:hAnsi="Times New Roman" w:cs="Times New Roman"/>
          <w:sz w:val="24"/>
          <w:highlight w:val="none"/>
        </w:rPr>
        <w:t>我方已按招标文件要求详细审核并确认全部招标文件及有关附件，充分理解投标价格不得低于企业个别成本有关规定。我方经成本核算，所填报的投标报价不低于企业个别成本。</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5</w:t>
      </w:r>
      <w:r>
        <w:rPr>
          <w:rFonts w:hint="eastAsia" w:ascii="Times New Roman" w:hAnsi="Times New Roman" w:cs="Times New Roman"/>
          <w:sz w:val="24"/>
          <w:highlight w:val="none"/>
        </w:rPr>
        <w:t>．除非另外达成协议并生效，你方的中标通知书和本投标文件以及招标文件、招标文件澄清、修改、补充文件将成为约束双方的合同文件的组成部分。</w:t>
      </w:r>
      <w:r>
        <w:rPr>
          <w:rFonts w:hint="eastAsia" w:ascii="Times New Roman" w:hAnsi="Times New Roman" w:cs="Times New Roman"/>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6.其他补充说明：</w:t>
      </w:r>
      <w:r>
        <w:rPr>
          <w:rFonts w:hint="eastAsia" w:ascii="Times New Roman" w:hAnsi="Times New Roman" w:cs="Times New Roman"/>
          <w:sz w:val="24"/>
          <w:highlight w:val="none"/>
          <w:u w:val="single"/>
          <w:lang w:val="en-US" w:eastAsia="zh-CN"/>
        </w:rPr>
        <w:t xml:space="preserve">                                       </w:t>
      </w:r>
      <w:r>
        <w:rPr>
          <w:rFonts w:hint="eastAsia" w:ascii="Times New Roman" w:hAnsi="Times New Roman" w:cs="Times New Roman"/>
          <w:sz w:val="24"/>
          <w:highlight w:val="none"/>
          <w:u w:val="none"/>
          <w:lang w:val="en-US" w:eastAsia="zh-CN"/>
        </w:rPr>
        <w:t>。</w:t>
      </w:r>
      <w:r>
        <w:rPr>
          <w:rFonts w:hint="eastAsia" w:ascii="Times New Roman" w:hAnsi="Times New Roman" w:cs="Times New Roman"/>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highlight w:val="none"/>
        </w:rPr>
      </w:pPr>
      <w:r>
        <w:rPr>
          <w:rFonts w:hint="eastAsia" w:ascii="Times New Roman" w:hAnsi="Times New Roman" w:cs="Times New Roman"/>
          <w:sz w:val="24"/>
          <w:highlight w:val="none"/>
          <w:lang w:val="en-US" w:eastAsia="zh-CN"/>
        </w:rPr>
        <w:t xml:space="preserve"> </w:t>
      </w:r>
    </w:p>
    <w:p>
      <w:pPr>
        <w:spacing w:line="400" w:lineRule="exact"/>
        <w:ind w:firstLine="3420" w:firstLineChars="1425"/>
        <w:rPr>
          <w:rFonts w:ascii="Times New Roman" w:hAnsi="Times New Roman" w:cs="Times New Roman"/>
          <w:sz w:val="24"/>
          <w:highlight w:val="none"/>
        </w:rPr>
      </w:pPr>
      <w:r>
        <w:rPr>
          <w:rFonts w:ascii="Times New Roman" w:hAnsi="Times New Roman" w:cs="Times New Roman"/>
          <w:sz w:val="24"/>
          <w:highlight w:val="none"/>
        </w:rPr>
        <w:t>供应商：</w:t>
      </w:r>
      <w:r>
        <w:rPr>
          <w:rFonts w:ascii="Times New Roman" w:hAnsi="Times New Roman" w:cs="Times New Roman"/>
          <w:sz w:val="24"/>
          <w:highlight w:val="none"/>
          <w:u w:val="single"/>
        </w:rPr>
        <w:t xml:space="preserve">                     </w:t>
      </w:r>
      <w:r>
        <w:rPr>
          <w:rFonts w:hint="eastAsia" w:ascii="宋体" w:hAnsi="宋体" w:eastAsia="宋体" w:cs="宋体"/>
          <w:sz w:val="24"/>
          <w:highlight w:val="none"/>
        </w:rPr>
        <w:t>(盖单位章)</w:t>
      </w:r>
    </w:p>
    <w:p>
      <w:pPr>
        <w:spacing w:line="400" w:lineRule="exact"/>
        <w:ind w:firstLine="3420" w:firstLineChars="1425"/>
        <w:rPr>
          <w:rFonts w:ascii="Times New Roman" w:hAnsi="Times New Roman" w:cs="Times New Roman"/>
          <w:sz w:val="24"/>
          <w:highlight w:val="none"/>
        </w:rPr>
      </w:pPr>
      <w:r>
        <w:rPr>
          <w:rFonts w:ascii="Times New Roman" w:hAnsi="Times New Roman" w:cs="Times New Roman"/>
          <w:sz w:val="24"/>
          <w:highlight w:val="none"/>
        </w:rPr>
        <w:t>法定代表人：</w:t>
      </w:r>
      <w:r>
        <w:rPr>
          <w:rFonts w:ascii="Times New Roman" w:hAnsi="Times New Roman" w:cs="Times New Roman"/>
          <w:sz w:val="24"/>
          <w:highlight w:val="none"/>
          <w:u w:val="single"/>
        </w:rPr>
        <w:t xml:space="preserve">   </w:t>
      </w:r>
      <w:r>
        <w:rPr>
          <w:rFonts w:hint="eastAsia" w:ascii="Times New Roman" w:hAnsi="Times New Roman" w:cs="Times New Roman"/>
          <w:sz w:val="24"/>
          <w:highlight w:val="none"/>
          <w:u w:val="single"/>
          <w:lang w:val="en-US" w:eastAsia="zh-CN"/>
        </w:rPr>
        <w:t xml:space="preserve">           </w:t>
      </w:r>
      <w:r>
        <w:rPr>
          <w:rFonts w:ascii="Times New Roman" w:hAnsi="Times New Roman" w:cs="Times New Roman"/>
          <w:sz w:val="24"/>
          <w:highlight w:val="none"/>
          <w:u w:val="single"/>
        </w:rPr>
        <w:t xml:space="preserve">  </w:t>
      </w:r>
      <w:r>
        <w:rPr>
          <w:rFonts w:hint="eastAsia" w:ascii="宋体" w:hAnsi="宋体" w:eastAsia="宋体" w:cs="宋体"/>
          <w:sz w:val="24"/>
          <w:szCs w:val="24"/>
          <w:highlight w:val="none"/>
        </w:rPr>
        <w:t>（签字或盖章）</w:t>
      </w:r>
    </w:p>
    <w:p>
      <w:pPr>
        <w:spacing w:line="400" w:lineRule="exact"/>
        <w:ind w:firstLine="3420" w:firstLineChars="1425"/>
        <w:rPr>
          <w:rFonts w:ascii="Times New Roman" w:hAnsi="Times New Roman" w:cs="Times New Roman"/>
          <w:sz w:val="24"/>
          <w:highlight w:val="none"/>
        </w:rPr>
      </w:pPr>
      <w:r>
        <w:rPr>
          <w:rFonts w:ascii="Times New Roman" w:hAnsi="Times New Roman" w:cs="Times New Roman"/>
          <w:sz w:val="24"/>
          <w:highlight w:val="none"/>
        </w:rPr>
        <w:t>地址：</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w:t>
      </w:r>
    </w:p>
    <w:p>
      <w:pPr>
        <w:spacing w:line="400" w:lineRule="exact"/>
        <w:ind w:firstLine="3420" w:firstLineChars="1425"/>
        <w:rPr>
          <w:rFonts w:ascii="Times New Roman" w:hAnsi="Times New Roman" w:cs="Times New Roman"/>
          <w:sz w:val="24"/>
          <w:highlight w:val="none"/>
        </w:rPr>
      </w:pPr>
      <w:r>
        <w:rPr>
          <w:rFonts w:ascii="Times New Roman" w:hAnsi="Times New Roman" w:cs="Times New Roman"/>
          <w:sz w:val="24"/>
          <w:highlight w:val="none"/>
        </w:rPr>
        <w:t>网址：</w:t>
      </w:r>
      <w:r>
        <w:rPr>
          <w:rFonts w:ascii="Times New Roman" w:hAnsi="Times New Roman" w:cs="Times New Roman"/>
          <w:sz w:val="24"/>
          <w:highlight w:val="none"/>
          <w:u w:val="single"/>
        </w:rPr>
        <w:t xml:space="preserve">                                     </w:t>
      </w:r>
    </w:p>
    <w:p>
      <w:pPr>
        <w:spacing w:line="400" w:lineRule="exact"/>
        <w:ind w:firstLine="3420" w:firstLineChars="1425"/>
        <w:rPr>
          <w:rFonts w:ascii="Times New Roman" w:hAnsi="Times New Roman" w:cs="Times New Roman"/>
          <w:sz w:val="24"/>
          <w:highlight w:val="none"/>
        </w:rPr>
      </w:pPr>
      <w:r>
        <w:rPr>
          <w:rFonts w:ascii="Times New Roman" w:hAnsi="Times New Roman" w:cs="Times New Roman"/>
          <w:sz w:val="24"/>
          <w:highlight w:val="none"/>
        </w:rPr>
        <w:t>电话：</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w:t>
      </w:r>
    </w:p>
    <w:p>
      <w:pPr>
        <w:spacing w:line="400" w:lineRule="exact"/>
        <w:ind w:firstLine="3420" w:firstLineChars="1425"/>
        <w:rPr>
          <w:rFonts w:ascii="Times New Roman" w:hAnsi="Times New Roman" w:cs="Times New Roman"/>
          <w:sz w:val="24"/>
          <w:highlight w:val="none"/>
        </w:rPr>
      </w:pPr>
      <w:r>
        <w:rPr>
          <w:rFonts w:hint="eastAsia" w:ascii="Times New Roman" w:hAnsi="Times New Roman" w:cs="Times New Roman"/>
          <w:sz w:val="24"/>
          <w:highlight w:val="none"/>
        </w:rPr>
        <w:t>电子邮箱</w:t>
      </w:r>
      <w:r>
        <w:rPr>
          <w:rFonts w:ascii="Times New Roman" w:hAnsi="Times New Roman" w:cs="Times New Roman"/>
          <w:sz w:val="24"/>
          <w:highlight w:val="none"/>
        </w:rPr>
        <w:t>：</w:t>
      </w:r>
      <w:r>
        <w:rPr>
          <w:rFonts w:ascii="Times New Roman" w:hAnsi="Times New Roman" w:cs="Times New Roman"/>
          <w:sz w:val="24"/>
          <w:highlight w:val="none"/>
          <w:u w:val="single"/>
        </w:rPr>
        <w:t xml:space="preserve">                                  </w:t>
      </w:r>
    </w:p>
    <w:p>
      <w:pPr>
        <w:spacing w:line="400" w:lineRule="exact"/>
        <w:ind w:firstLine="4740" w:firstLineChars="1975"/>
        <w:rPr>
          <w:rFonts w:ascii="Times New Roman" w:hAnsi="Times New Roman" w:cs="Times New Roman"/>
          <w:sz w:val="24"/>
          <w:highlight w:val="none"/>
        </w:r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年</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日</w:t>
      </w:r>
    </w:p>
    <w:p>
      <w:pPr>
        <w:rPr>
          <w:rFonts w:ascii="Times New Roman" w:hAnsi="Times New Roman" w:cs="Times New Roman"/>
          <w:sz w:val="24"/>
          <w:highlight w:val="none"/>
        </w:rPr>
      </w:pPr>
      <w:r>
        <w:rPr>
          <w:rFonts w:ascii="Times New Roman" w:hAnsi="Times New Roman" w:cs="Times New Roman"/>
          <w:sz w:val="24"/>
          <w:highlight w:val="none"/>
        </w:rPr>
        <w:br w:type="page"/>
      </w:r>
    </w:p>
    <w:p>
      <w:pPr>
        <w:numPr>
          <w:ilvl w:val="0"/>
          <w:numId w:val="0"/>
        </w:numPr>
        <w:spacing w:line="440" w:lineRule="exact"/>
        <w:jc w:val="center"/>
        <w:rPr>
          <w:rFonts w:hint="eastAsia" w:ascii="Times New Roman" w:hAnsi="Times New Roman" w:eastAsia="黑体" w:cs="Times New Roman"/>
          <w:sz w:val="28"/>
          <w:szCs w:val="28"/>
          <w:highlight w:val="none"/>
          <w:lang w:val="en-US" w:eastAsia="zh-CN"/>
        </w:rPr>
      </w:pPr>
      <w:bookmarkStart w:id="153" w:name="_Toc272486050"/>
      <w:bookmarkStart w:id="154" w:name="_Toc153421230"/>
      <w:bookmarkStart w:id="155" w:name="_Toc162490440"/>
      <w:r>
        <w:rPr>
          <w:rFonts w:hint="eastAsia" w:ascii="Times New Roman" w:hAnsi="Times New Roman" w:eastAsia="黑体" w:cs="Times New Roman"/>
          <w:sz w:val="28"/>
          <w:szCs w:val="28"/>
          <w:highlight w:val="none"/>
          <w:lang w:val="en-US" w:eastAsia="zh-CN"/>
        </w:rPr>
        <w:t>二、</w:t>
      </w:r>
      <w:bookmarkEnd w:id="153"/>
      <w:bookmarkEnd w:id="154"/>
      <w:bookmarkEnd w:id="155"/>
      <w:r>
        <w:rPr>
          <w:rFonts w:hint="eastAsia" w:ascii="Times New Roman" w:hAnsi="Times New Roman" w:eastAsia="黑体" w:cs="Times New Roman"/>
          <w:sz w:val="28"/>
          <w:szCs w:val="28"/>
          <w:highlight w:val="none"/>
          <w:lang w:val="en-US" w:eastAsia="zh-CN"/>
        </w:rPr>
        <w:t>已标价的工程量清单</w:t>
      </w:r>
    </w:p>
    <w:p>
      <w:pPr>
        <w:spacing w:line="440" w:lineRule="exact"/>
        <w:rPr>
          <w:rFonts w:ascii="Times New Roman" w:hAnsi="Times New Roman" w:eastAsia="黑体" w:cs="Times New Roman"/>
          <w:color w:val="auto"/>
          <w:sz w:val="24"/>
          <w:highlight w:val="none"/>
        </w:rPr>
      </w:pPr>
    </w:p>
    <w:p>
      <w:pPr>
        <w:spacing w:line="360" w:lineRule="auto"/>
        <w:ind w:firstLine="281" w:firstLineChars="100"/>
        <w:jc w:val="center"/>
        <w:rPr>
          <w:rFonts w:hint="eastAsia" w:ascii="宋体" w:hAnsi="宋体" w:cs="宋体"/>
          <w:b/>
          <w:bCs/>
          <w:sz w:val="28"/>
          <w:szCs w:val="28"/>
          <w:highlight w:val="none"/>
        </w:rPr>
      </w:pPr>
      <w:r>
        <w:rPr>
          <w:rFonts w:hint="eastAsia" w:ascii="宋体" w:hAnsi="宋体" w:cs="宋体"/>
          <w:b/>
          <w:bCs/>
          <w:sz w:val="28"/>
          <w:szCs w:val="28"/>
          <w:highlight w:val="none"/>
        </w:rPr>
        <w:t>A．说明</w:t>
      </w:r>
    </w:p>
    <w:p>
      <w:pPr>
        <w:spacing w:line="360" w:lineRule="auto"/>
        <w:ind w:firstLine="437"/>
        <w:rPr>
          <w:sz w:val="22"/>
          <w:szCs w:val="21"/>
          <w:highlight w:val="none"/>
        </w:rPr>
      </w:pPr>
      <w:r>
        <w:rPr>
          <w:sz w:val="22"/>
          <w:szCs w:val="21"/>
          <w:highlight w:val="none"/>
        </w:rPr>
        <w:t>1．本</w:t>
      </w:r>
      <w:r>
        <w:rPr>
          <w:rFonts w:hint="eastAsia"/>
          <w:sz w:val="22"/>
          <w:szCs w:val="21"/>
          <w:highlight w:val="none"/>
        </w:rPr>
        <w:t>报价</w:t>
      </w:r>
      <w:r>
        <w:rPr>
          <w:sz w:val="22"/>
          <w:szCs w:val="21"/>
          <w:highlight w:val="none"/>
        </w:rPr>
        <w:t>清单应与投标人须知、专用合同条款、技术规格等文件结合起来查阅与理解。</w:t>
      </w:r>
    </w:p>
    <w:p>
      <w:pPr>
        <w:spacing w:line="360" w:lineRule="auto"/>
        <w:ind w:firstLine="437"/>
        <w:rPr>
          <w:sz w:val="22"/>
          <w:szCs w:val="21"/>
          <w:highlight w:val="none"/>
        </w:rPr>
      </w:pPr>
      <w:r>
        <w:rPr>
          <w:sz w:val="22"/>
          <w:szCs w:val="21"/>
          <w:highlight w:val="none"/>
        </w:rPr>
        <w:t>2．除非合同另有规定，清单中综合单价和总价应包括了为实施和完成合同所需的</w:t>
      </w:r>
      <w:r>
        <w:rPr>
          <w:rStyle w:val="42"/>
          <w:rFonts w:hint="eastAsia" w:asciiTheme="minorEastAsia" w:hAnsiTheme="minorEastAsia" w:eastAsiaTheme="minorEastAsia" w:cstheme="minorEastAsia"/>
          <w:kern w:val="2"/>
          <w:highlight w:val="none"/>
          <w:lang w:val="en-US" w:eastAsia="zh-CN" w:bidi="ar"/>
        </w:rPr>
        <w:t>材料的成本、利润、税费</w:t>
      </w:r>
      <w:r>
        <w:rPr>
          <w:rStyle w:val="42"/>
          <w:rFonts w:hint="eastAsia" w:asciiTheme="minorEastAsia" w:hAnsiTheme="minorEastAsia" w:cstheme="minorEastAsia"/>
          <w:kern w:val="2"/>
          <w:highlight w:val="none"/>
          <w:lang w:val="en-US" w:eastAsia="zh-CN" w:bidi="ar"/>
        </w:rPr>
        <w:t>（13%增值税）</w:t>
      </w:r>
      <w:r>
        <w:rPr>
          <w:rStyle w:val="42"/>
          <w:rFonts w:hint="eastAsia" w:asciiTheme="minorEastAsia" w:hAnsiTheme="minorEastAsia" w:eastAsiaTheme="minorEastAsia" w:cstheme="minorEastAsia"/>
          <w:kern w:val="2"/>
          <w:highlight w:val="none"/>
          <w:lang w:val="en-US" w:eastAsia="zh-CN" w:bidi="ar"/>
        </w:rPr>
        <w:t>、运输费、损耗费、装卸</w:t>
      </w:r>
      <w:r>
        <w:rPr>
          <w:rStyle w:val="42"/>
          <w:rFonts w:hint="eastAsia" w:asciiTheme="minorEastAsia" w:hAnsiTheme="minorEastAsia" w:cstheme="minorEastAsia"/>
          <w:kern w:val="2"/>
          <w:highlight w:val="none"/>
          <w:lang w:val="en-US" w:eastAsia="zh-CN" w:bidi="ar"/>
        </w:rPr>
        <w:t>费</w:t>
      </w:r>
      <w:r>
        <w:rPr>
          <w:rStyle w:val="42"/>
          <w:rFonts w:hint="eastAsia" w:asciiTheme="minorEastAsia" w:hAnsiTheme="minorEastAsia" w:eastAsiaTheme="minorEastAsia" w:cstheme="minorEastAsia"/>
          <w:kern w:val="2"/>
          <w:highlight w:val="none"/>
          <w:lang w:val="en-US" w:eastAsia="zh-CN" w:bidi="ar"/>
        </w:rPr>
        <w:t>、检测费</w:t>
      </w:r>
      <w:r>
        <w:rPr>
          <w:rStyle w:val="42"/>
          <w:rFonts w:hint="eastAsia" w:asciiTheme="minorEastAsia" w:hAnsiTheme="minorEastAsia" w:cstheme="minorEastAsia"/>
          <w:kern w:val="2"/>
          <w:highlight w:val="none"/>
          <w:lang w:val="en-US" w:eastAsia="zh-CN" w:bidi="ar"/>
        </w:rPr>
        <w:t>（二次检测）</w:t>
      </w:r>
      <w:r>
        <w:rPr>
          <w:rStyle w:val="42"/>
          <w:rFonts w:hint="eastAsia" w:asciiTheme="minorEastAsia" w:hAnsiTheme="minorEastAsia" w:eastAsiaTheme="minorEastAsia" w:cstheme="minorEastAsia"/>
          <w:kern w:val="2"/>
          <w:highlight w:val="none"/>
          <w:lang w:val="en-US" w:eastAsia="zh-CN" w:bidi="ar"/>
        </w:rPr>
        <w:t>、技术服务、商业保险费、验收费</w:t>
      </w:r>
      <w:r>
        <w:rPr>
          <w:sz w:val="22"/>
          <w:szCs w:val="21"/>
          <w:highlight w:val="none"/>
        </w:rPr>
        <w:t>等达到使用条件及质保期维护维修的一切费用，以及合同约定的所有责任、义务和一般风险。</w:t>
      </w:r>
    </w:p>
    <w:p>
      <w:pPr>
        <w:spacing w:line="360" w:lineRule="auto"/>
        <w:ind w:firstLine="437"/>
        <w:rPr>
          <w:sz w:val="22"/>
          <w:szCs w:val="21"/>
          <w:highlight w:val="none"/>
        </w:rPr>
      </w:pPr>
      <w:r>
        <w:rPr>
          <w:sz w:val="22"/>
          <w:szCs w:val="21"/>
          <w:highlight w:val="none"/>
        </w:rPr>
        <w:t>3．</w:t>
      </w:r>
      <w:r>
        <w:rPr>
          <w:rFonts w:hint="eastAsia"/>
          <w:sz w:val="22"/>
          <w:szCs w:val="21"/>
          <w:highlight w:val="none"/>
        </w:rPr>
        <w:t>报价</w:t>
      </w:r>
      <w:r>
        <w:rPr>
          <w:sz w:val="22"/>
          <w:szCs w:val="21"/>
          <w:highlight w:val="none"/>
        </w:rPr>
        <w:t>清单中的各项费用货币单位均为人民币(元)。</w:t>
      </w:r>
    </w:p>
    <w:p>
      <w:pPr>
        <w:spacing w:line="360" w:lineRule="auto"/>
        <w:ind w:firstLine="437"/>
        <w:rPr>
          <w:rFonts w:hint="eastAsia"/>
          <w:highlight w:val="none"/>
          <w:lang w:val="en-US" w:eastAsia="zh-CN"/>
        </w:rPr>
      </w:pPr>
      <w:r>
        <w:rPr>
          <w:sz w:val="22"/>
          <w:szCs w:val="21"/>
          <w:highlight w:val="none"/>
        </w:rPr>
        <w:t>4．交货期以合同签订之日起算</w:t>
      </w:r>
      <w:r>
        <w:rPr>
          <w:rFonts w:hint="eastAsia"/>
          <w:sz w:val="22"/>
          <w:szCs w:val="21"/>
          <w:highlight w:val="none"/>
        </w:rPr>
        <w:t>。</w:t>
      </w:r>
    </w:p>
    <w:p>
      <w:pPr>
        <w:pStyle w:val="19"/>
        <w:rPr>
          <w:rFonts w:hint="eastAsia"/>
          <w:highlight w:val="none"/>
          <w:lang w:val="en-US" w:eastAsia="zh-CN"/>
        </w:rPr>
      </w:pPr>
    </w:p>
    <w:p>
      <w:pPr>
        <w:rPr>
          <w:rFonts w:hint="eastAsia"/>
          <w:highlight w:val="none"/>
          <w:lang w:val="en-US" w:eastAsia="zh-CN"/>
        </w:rPr>
      </w:pPr>
      <w:r>
        <w:rPr>
          <w:rFonts w:hint="eastAsia"/>
          <w:highlight w:val="none"/>
          <w:lang w:val="en-US" w:eastAsia="zh-CN"/>
        </w:rPr>
        <w:br w:type="page"/>
      </w:r>
    </w:p>
    <w:p>
      <w:pPr>
        <w:pStyle w:val="4"/>
        <w:numPr>
          <w:ilvl w:val="0"/>
          <w:numId w:val="0"/>
        </w:numPr>
        <w:ind w:left="417" w:leftChars="0"/>
        <w:jc w:val="center"/>
        <w:rPr>
          <w:rFonts w:hint="eastAsia" w:ascii="宋体" w:hAnsi="宋体" w:eastAsia="宋体" w:cs="宋体"/>
          <w:bCs/>
          <w:kern w:val="2"/>
          <w:sz w:val="28"/>
          <w:szCs w:val="28"/>
          <w:highlight w:val="none"/>
          <w:lang w:eastAsia="zh-CN"/>
        </w:rPr>
      </w:pPr>
      <w:r>
        <w:rPr>
          <w:rFonts w:hint="eastAsia" w:ascii="宋体" w:hAnsi="宋体" w:cs="宋体"/>
          <w:b/>
          <w:bCs w:val="0"/>
          <w:sz w:val="28"/>
          <w:szCs w:val="24"/>
          <w:highlight w:val="none"/>
        </w:rPr>
        <w:t>B.</w:t>
      </w:r>
      <w:r>
        <w:rPr>
          <w:rFonts w:hint="eastAsia" w:ascii="宋体" w:hAnsi="宋体" w:cs="宋体"/>
          <w:b w:val="0"/>
          <w:bCs/>
          <w:sz w:val="28"/>
          <w:szCs w:val="24"/>
          <w:highlight w:val="none"/>
        </w:rPr>
        <w:t xml:space="preserve"> </w:t>
      </w:r>
      <w:r>
        <w:rPr>
          <w:rFonts w:hint="eastAsia" w:ascii="宋体" w:hAnsi="宋体" w:eastAsia="宋体" w:cs="宋体"/>
          <w:bCs/>
          <w:kern w:val="2"/>
          <w:sz w:val="28"/>
          <w:szCs w:val="28"/>
          <w:highlight w:val="none"/>
          <w:lang w:eastAsia="zh-CN"/>
        </w:rPr>
        <w:t>已标价工程量清单</w:t>
      </w:r>
    </w:p>
    <w:p>
      <w:pPr>
        <w:spacing w:line="360" w:lineRule="auto"/>
        <w:ind w:firstLine="480" w:firstLineChars="200"/>
        <w:rPr>
          <w:rFonts w:hint="eastAsia"/>
        </w:rPr>
      </w:pPr>
      <w:r>
        <w:rPr>
          <w:rFonts w:hint="eastAsia" w:ascii="宋体" w:hAnsi="宋体" w:cs="宋体"/>
          <w:bCs/>
          <w:sz w:val="24"/>
          <w:szCs w:val="24"/>
          <w:highlight w:val="none"/>
        </w:rPr>
        <w:t>投标人按照招标人提供的“工程量清单”的要求逐项填报工程量清单，包括但不限于工程量清单说明、投标报价说明及工程量清单各项表格。</w:t>
      </w:r>
    </w:p>
    <w:p>
      <w:pPr>
        <w:pStyle w:val="12"/>
        <w:adjustRightInd w:val="0"/>
        <w:snapToGrid w:val="0"/>
        <w:jc w:val="both"/>
        <w:rPr>
          <w:rFonts w:ascii="Times New Roman" w:hAnsi="Times New Roman" w:cs="Times New Roman"/>
          <w:highlight w:val="none"/>
        </w:rPr>
      </w:pPr>
    </w:p>
    <w:p>
      <w:pPr>
        <w:pStyle w:val="12"/>
        <w:adjustRightInd w:val="0"/>
        <w:snapToGrid w:val="0"/>
        <w:jc w:val="center"/>
        <w:rPr>
          <w:rFonts w:ascii="Times New Roman" w:hAnsi="Times New Roman" w:cs="Times New Roman"/>
          <w:highlight w:val="none"/>
        </w:rPr>
      </w:pPr>
    </w:p>
    <w:p>
      <w:pPr>
        <w:pStyle w:val="12"/>
        <w:adjustRightInd w:val="0"/>
        <w:snapToGrid w:val="0"/>
        <w:jc w:val="center"/>
        <w:rPr>
          <w:rFonts w:ascii="Times New Roman" w:hAnsi="Times New Roman" w:cs="Times New Roman"/>
          <w:highlight w:val="none"/>
        </w:rPr>
      </w:pPr>
    </w:p>
    <w:tbl>
      <w:tblPr>
        <w:tblStyle w:val="22"/>
        <w:tblW w:w="8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4061"/>
        <w:gridCol w:w="1922"/>
        <w:gridCol w:w="2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781" w:type="dxa"/>
            <w:vAlign w:val="center"/>
          </w:tcPr>
          <w:p>
            <w:pPr>
              <w:pStyle w:val="20"/>
              <w:ind w:left="0" w:leftChars="0" w:firstLine="0" w:firstLineChars="0"/>
              <w:jc w:val="center"/>
              <w:rPr>
                <w:rFonts w:hint="eastAsia"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序号</w:t>
            </w:r>
          </w:p>
        </w:tc>
        <w:tc>
          <w:tcPr>
            <w:tcW w:w="4061" w:type="dxa"/>
            <w:vAlign w:val="center"/>
          </w:tcPr>
          <w:p>
            <w:pPr>
              <w:pStyle w:val="20"/>
              <w:ind w:left="0" w:leftChars="0" w:firstLine="0" w:firstLineChars="0"/>
              <w:jc w:val="center"/>
              <w:rPr>
                <w:rFonts w:hint="default"/>
                <w:lang w:val="en-US" w:eastAsia="zh-CN"/>
              </w:rPr>
            </w:pPr>
            <w:r>
              <w:rPr>
                <w:rFonts w:hint="eastAsia"/>
                <w:lang w:val="en-US" w:eastAsia="zh-CN"/>
              </w:rPr>
              <w:t>地点</w:t>
            </w:r>
          </w:p>
        </w:tc>
        <w:tc>
          <w:tcPr>
            <w:tcW w:w="1922" w:type="dxa"/>
            <w:vAlign w:val="center"/>
          </w:tcPr>
          <w:p>
            <w:pPr>
              <w:pStyle w:val="20"/>
              <w:ind w:left="0" w:leftChars="0" w:firstLine="0" w:firstLineChars="0"/>
              <w:jc w:val="center"/>
              <w:rPr>
                <w:rFonts w:hint="eastAsia" w:ascii="宋体" w:hAnsi="宋体" w:eastAsia="宋体" w:cs="宋体"/>
                <w:color w:val="000000"/>
                <w:sz w:val="21"/>
                <w:szCs w:val="21"/>
                <w:highlight w:val="none"/>
                <w:vertAlign w:val="baseline"/>
                <w:lang w:val="en-US" w:eastAsia="zh-CN"/>
              </w:rPr>
            </w:pPr>
            <w:r>
              <w:rPr>
                <w:rFonts w:hint="eastAsia" w:ascii="宋体" w:hAnsi="宋体" w:cs="宋体"/>
                <w:color w:val="000000"/>
                <w:sz w:val="21"/>
                <w:szCs w:val="21"/>
                <w:highlight w:val="none"/>
                <w:vertAlign w:val="baseline"/>
                <w:lang w:val="en-US" w:eastAsia="zh-CN"/>
              </w:rPr>
              <w:t>总计金额（元）</w:t>
            </w:r>
          </w:p>
        </w:tc>
        <w:tc>
          <w:tcPr>
            <w:tcW w:w="2119" w:type="dxa"/>
            <w:vAlign w:val="center"/>
          </w:tcPr>
          <w:p>
            <w:pPr>
              <w:pStyle w:val="20"/>
              <w:ind w:left="0" w:leftChars="0" w:firstLine="0" w:firstLineChars="0"/>
              <w:jc w:val="center"/>
              <w:rPr>
                <w:rFonts w:hint="eastAsia"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781" w:type="dxa"/>
            <w:vAlign w:val="center"/>
          </w:tcPr>
          <w:p>
            <w:pPr>
              <w:pStyle w:val="20"/>
              <w:ind w:left="0" w:leftChars="0" w:firstLine="0" w:firstLineChars="0"/>
              <w:jc w:val="center"/>
              <w:rPr>
                <w:rFonts w:hint="default"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1</w:t>
            </w:r>
          </w:p>
        </w:tc>
        <w:tc>
          <w:tcPr>
            <w:tcW w:w="4061" w:type="dxa"/>
            <w:vAlign w:val="center"/>
          </w:tcPr>
          <w:p>
            <w:pPr>
              <w:pStyle w:val="20"/>
              <w:ind w:left="0" w:leftChars="0" w:firstLine="0" w:firstLineChars="0"/>
              <w:jc w:val="center"/>
              <w:rPr>
                <w:rFonts w:hint="eastAsia"/>
                <w:lang w:val="en-US" w:eastAsia="zh-CN"/>
              </w:rPr>
            </w:pPr>
            <w:r>
              <w:rPr>
                <w:rFonts w:hint="eastAsia"/>
                <w:lang w:val="en-US" w:eastAsia="zh-CN"/>
              </w:rPr>
              <w:t>服务区综合楼</w:t>
            </w:r>
          </w:p>
        </w:tc>
        <w:tc>
          <w:tcPr>
            <w:tcW w:w="1922" w:type="dxa"/>
            <w:vAlign w:val="center"/>
          </w:tcPr>
          <w:p>
            <w:pPr>
              <w:pStyle w:val="20"/>
              <w:ind w:left="0" w:leftChars="0" w:firstLine="420" w:firstLineChars="200"/>
              <w:jc w:val="both"/>
              <w:rPr>
                <w:rFonts w:hint="default" w:ascii="宋体" w:hAnsi="宋体" w:eastAsia="宋体" w:cs="宋体"/>
                <w:color w:val="000000"/>
                <w:sz w:val="21"/>
                <w:szCs w:val="21"/>
                <w:highlight w:val="none"/>
                <w:vertAlign w:val="baseline"/>
                <w:lang w:val="en-US" w:eastAsia="zh-CN"/>
              </w:rPr>
            </w:pPr>
          </w:p>
        </w:tc>
        <w:tc>
          <w:tcPr>
            <w:tcW w:w="2119" w:type="dxa"/>
            <w:vMerge w:val="restart"/>
            <w:vAlign w:val="center"/>
          </w:tcPr>
          <w:p>
            <w:pPr>
              <w:pStyle w:val="20"/>
              <w:ind w:left="0" w:leftChars="0" w:firstLine="0" w:firstLineChars="0"/>
              <w:jc w:val="both"/>
              <w:rPr>
                <w:rFonts w:hint="eastAsia" w:ascii="宋体" w:hAnsi="宋体" w:eastAsia="宋体" w:cs="宋体"/>
                <w:color w:val="000000"/>
                <w:sz w:val="21"/>
                <w:szCs w:val="21"/>
                <w:highlight w:val="none"/>
                <w:vertAlign w:val="baseline"/>
                <w:lang w:val="en-US" w:eastAsia="zh-CN"/>
              </w:rPr>
            </w:pPr>
            <w:r>
              <w:rPr>
                <w:rFonts w:hint="eastAsia" w:ascii="Times New Roman" w:hAnsi="Times New Roman" w:cs="Times New Roman"/>
                <w:b w:val="0"/>
                <w:color w:val="000000"/>
                <w:sz w:val="21"/>
                <w:szCs w:val="22"/>
                <w:highlight w:val="none"/>
                <w:u w:val="none"/>
                <w:lang w:val="en-US" w:eastAsia="zh-CN"/>
              </w:rPr>
              <w:t>含税（13%）增值税专用发票 ，详见附件报价单。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781" w:type="dxa"/>
            <w:vAlign w:val="center"/>
          </w:tcPr>
          <w:p>
            <w:pPr>
              <w:pStyle w:val="20"/>
              <w:ind w:left="0" w:leftChars="0" w:firstLine="0" w:firstLineChars="0"/>
              <w:jc w:val="center"/>
              <w:rPr>
                <w:rFonts w:hint="default"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2</w:t>
            </w:r>
          </w:p>
        </w:tc>
        <w:tc>
          <w:tcPr>
            <w:tcW w:w="4061" w:type="dxa"/>
            <w:vAlign w:val="center"/>
          </w:tcPr>
          <w:p>
            <w:pPr>
              <w:pStyle w:val="20"/>
              <w:ind w:left="0" w:leftChars="0" w:firstLine="0" w:firstLineChars="0"/>
              <w:jc w:val="center"/>
              <w:rPr>
                <w:rFonts w:hint="default"/>
                <w:lang w:val="en-US" w:eastAsia="zh-CN"/>
              </w:rPr>
            </w:pPr>
            <w:r>
              <w:rPr>
                <w:rFonts w:hint="eastAsia"/>
                <w:lang w:val="en-US" w:eastAsia="zh-CN"/>
              </w:rPr>
              <w:t>收费站宿舍楼</w:t>
            </w:r>
          </w:p>
        </w:tc>
        <w:tc>
          <w:tcPr>
            <w:tcW w:w="1922" w:type="dxa"/>
            <w:vAlign w:val="center"/>
          </w:tcPr>
          <w:p>
            <w:pPr>
              <w:pStyle w:val="20"/>
              <w:ind w:left="0" w:leftChars="0" w:firstLine="420" w:firstLineChars="200"/>
              <w:jc w:val="both"/>
              <w:rPr>
                <w:rFonts w:hint="default" w:ascii="宋体" w:hAnsi="宋体" w:eastAsia="宋体" w:cs="宋体"/>
                <w:color w:val="000000"/>
                <w:sz w:val="21"/>
                <w:szCs w:val="21"/>
                <w:highlight w:val="none"/>
                <w:vertAlign w:val="baseline"/>
                <w:lang w:val="en-US" w:eastAsia="zh-CN"/>
              </w:rPr>
            </w:pPr>
          </w:p>
        </w:tc>
        <w:tc>
          <w:tcPr>
            <w:tcW w:w="2119" w:type="dxa"/>
            <w:vMerge w:val="continue"/>
            <w:tcBorders/>
            <w:vAlign w:val="center"/>
          </w:tcPr>
          <w:p>
            <w:pPr>
              <w:pStyle w:val="20"/>
              <w:ind w:left="0" w:leftChars="0" w:firstLine="0" w:firstLineChars="0"/>
              <w:jc w:val="both"/>
              <w:rPr>
                <w:rFonts w:hint="eastAsia" w:ascii="宋体" w:hAnsi="宋体" w:eastAsia="宋体" w:cs="宋体"/>
                <w:color w:val="000000"/>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4842" w:type="dxa"/>
            <w:gridSpan w:val="2"/>
            <w:vAlign w:val="center"/>
          </w:tcPr>
          <w:p>
            <w:pPr>
              <w:pStyle w:val="20"/>
              <w:jc w:val="center"/>
              <w:rPr>
                <w:rFonts w:hint="eastAsia"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总合计金额（元）</w:t>
            </w:r>
          </w:p>
        </w:tc>
        <w:tc>
          <w:tcPr>
            <w:tcW w:w="1922" w:type="dxa"/>
            <w:vAlign w:val="center"/>
          </w:tcPr>
          <w:p>
            <w:pPr>
              <w:pStyle w:val="20"/>
              <w:jc w:val="center"/>
              <w:rPr>
                <w:rFonts w:hint="eastAsia" w:ascii="宋体" w:hAnsi="宋体" w:eastAsia="宋体" w:cs="宋体"/>
                <w:color w:val="000000"/>
                <w:sz w:val="21"/>
                <w:szCs w:val="21"/>
                <w:highlight w:val="none"/>
                <w:vertAlign w:val="baseline"/>
                <w:lang w:val="en-US" w:eastAsia="zh-CN"/>
              </w:rPr>
            </w:pPr>
          </w:p>
        </w:tc>
        <w:tc>
          <w:tcPr>
            <w:tcW w:w="2119" w:type="dxa"/>
            <w:vMerge w:val="continue"/>
            <w:tcBorders/>
            <w:vAlign w:val="center"/>
          </w:tcPr>
          <w:p>
            <w:pPr>
              <w:pStyle w:val="20"/>
              <w:jc w:val="center"/>
              <w:rPr>
                <w:rFonts w:hint="eastAsia" w:ascii="宋体" w:hAnsi="宋体" w:eastAsia="宋体" w:cs="宋体"/>
                <w:color w:val="000000"/>
                <w:sz w:val="21"/>
                <w:szCs w:val="21"/>
                <w:highlight w:val="none"/>
                <w:vertAlign w:val="baseline"/>
                <w:lang w:val="en-US" w:eastAsia="zh-CN"/>
              </w:rPr>
            </w:pPr>
          </w:p>
        </w:tc>
      </w:tr>
    </w:tbl>
    <w:p>
      <w:pPr>
        <w:rPr>
          <w:rFonts w:ascii="Times New Roman" w:hAnsi="Times New Roman" w:cs="Times New Roman"/>
          <w:highlight w:val="none"/>
        </w:rPr>
      </w:pPr>
      <w:r>
        <w:rPr>
          <w:rFonts w:ascii="Times New Roman" w:hAnsi="Times New Roman" w:cs="Times New Roman"/>
          <w:highlight w:val="none"/>
        </w:rPr>
        <w:br w:type="page"/>
      </w:r>
    </w:p>
    <w:tbl>
      <w:tblPr>
        <w:tblW w:w="9283" w:type="dxa"/>
        <w:tblInd w:w="-2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650"/>
        <w:gridCol w:w="2578"/>
        <w:gridCol w:w="3481"/>
        <w:gridCol w:w="452"/>
        <w:gridCol w:w="570"/>
        <w:gridCol w:w="668"/>
        <w:gridCol w:w="8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3" w:hRule="atLeast"/>
        </w:trPr>
        <w:tc>
          <w:tcPr>
            <w:tcW w:w="6709" w:type="dxa"/>
            <w:gridSpan w:val="3"/>
            <w:tcBorders>
              <w:top w:val="nil"/>
              <w:left w:val="nil"/>
              <w:bottom w:val="nil"/>
              <w:right w:val="nil"/>
            </w:tcBorders>
            <w:shd w:val="clear"/>
            <w:vAlign w:val="center"/>
          </w:tcPr>
          <w:p>
            <w:pPr>
              <w:keepNext w:val="0"/>
              <w:keepLines w:val="0"/>
              <w:widowControl/>
              <w:suppressLineNumbers w:val="0"/>
              <w:jc w:val="left"/>
              <w:textAlignment w:val="center"/>
              <w:rPr>
                <w:rFonts w:ascii="黑体" w:hAnsi="宋体" w:eastAsia="黑体" w:cs="黑体"/>
                <w:i w:val="0"/>
                <w:iCs w:val="0"/>
                <w:color w:val="000000"/>
                <w:sz w:val="21"/>
                <w:szCs w:val="21"/>
                <w:u w:val="none"/>
              </w:rPr>
            </w:pPr>
            <w:r>
              <w:rPr>
                <w:rFonts w:hint="eastAsia" w:ascii="黑体" w:hAnsi="宋体" w:eastAsia="黑体" w:cs="黑体"/>
                <w:i w:val="0"/>
                <w:iCs w:val="0"/>
                <w:color w:val="000000"/>
                <w:kern w:val="0"/>
                <w:sz w:val="32"/>
                <w:szCs w:val="32"/>
                <w:u w:val="none"/>
                <w:bdr w:val="none" w:color="auto" w:sz="0" w:space="0"/>
                <w:lang w:val="en-US" w:eastAsia="zh-CN" w:bidi="ar"/>
              </w:rPr>
              <w:t>服务区综合楼</w:t>
            </w:r>
          </w:p>
        </w:tc>
        <w:tc>
          <w:tcPr>
            <w:tcW w:w="452" w:type="dxa"/>
            <w:tcBorders>
              <w:top w:val="nil"/>
              <w:left w:val="nil"/>
              <w:bottom w:val="nil"/>
              <w:right w:val="nil"/>
            </w:tcBorders>
            <w:shd w:val="clear"/>
            <w:vAlign w:val="center"/>
          </w:tcPr>
          <w:p>
            <w:pPr>
              <w:jc w:val="left"/>
              <w:rPr>
                <w:rFonts w:hint="eastAsia" w:ascii="黑体" w:hAnsi="宋体" w:eastAsia="黑体" w:cs="黑体"/>
                <w:i w:val="0"/>
                <w:iCs w:val="0"/>
                <w:color w:val="000000"/>
                <w:sz w:val="21"/>
                <w:szCs w:val="21"/>
                <w:u w:val="none"/>
              </w:rPr>
            </w:pPr>
          </w:p>
        </w:tc>
        <w:tc>
          <w:tcPr>
            <w:tcW w:w="570" w:type="dxa"/>
            <w:tcBorders>
              <w:top w:val="nil"/>
              <w:left w:val="nil"/>
              <w:bottom w:val="nil"/>
              <w:right w:val="nil"/>
            </w:tcBorders>
            <w:shd w:val="clear"/>
            <w:vAlign w:val="center"/>
          </w:tcPr>
          <w:p>
            <w:pPr>
              <w:jc w:val="center"/>
              <w:rPr>
                <w:rFonts w:hint="eastAsia" w:ascii="黑体" w:hAnsi="宋体" w:eastAsia="黑体" w:cs="黑体"/>
                <w:i w:val="0"/>
                <w:iCs w:val="0"/>
                <w:color w:val="000000"/>
                <w:sz w:val="21"/>
                <w:szCs w:val="21"/>
                <w:u w:val="none"/>
              </w:rPr>
            </w:pPr>
          </w:p>
        </w:tc>
        <w:tc>
          <w:tcPr>
            <w:tcW w:w="668" w:type="dxa"/>
            <w:tcBorders>
              <w:top w:val="nil"/>
              <w:left w:val="nil"/>
              <w:bottom w:val="nil"/>
              <w:right w:val="nil"/>
            </w:tcBorders>
            <w:shd w:val="clear"/>
            <w:vAlign w:val="center"/>
          </w:tcPr>
          <w:p>
            <w:pPr>
              <w:jc w:val="center"/>
              <w:rPr>
                <w:rFonts w:hint="eastAsia" w:ascii="黑体" w:hAnsi="宋体" w:eastAsia="黑体" w:cs="黑体"/>
                <w:i w:val="0"/>
                <w:iCs w:val="0"/>
                <w:color w:val="000000"/>
                <w:sz w:val="21"/>
                <w:szCs w:val="21"/>
                <w:u w:val="none"/>
              </w:rPr>
            </w:pPr>
          </w:p>
        </w:tc>
        <w:tc>
          <w:tcPr>
            <w:tcW w:w="884" w:type="dxa"/>
            <w:tcBorders>
              <w:top w:val="nil"/>
              <w:left w:val="nil"/>
              <w:bottom w:val="nil"/>
              <w:right w:val="nil"/>
            </w:tcBorders>
            <w:shd w:val="clear"/>
            <w:noWrap/>
            <w:vAlign w:val="center"/>
          </w:tcPr>
          <w:p>
            <w:pPr>
              <w:jc w:val="center"/>
              <w:rPr>
                <w:rFonts w:hint="eastAsia" w:ascii="黑体" w:hAnsi="宋体" w:eastAsia="黑体" w:cs="黑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0"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bdr w:val="none" w:color="auto" w:sz="0" w:space="0"/>
                <w:lang w:val="en-US" w:eastAsia="zh-CN" w:bidi="ar"/>
              </w:rPr>
              <w:t>序号</w:t>
            </w:r>
          </w:p>
        </w:tc>
        <w:tc>
          <w:tcPr>
            <w:tcW w:w="2578"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bdr w:val="none" w:color="auto" w:sz="0" w:space="0"/>
                <w:lang w:val="en-US" w:eastAsia="zh-CN" w:bidi="ar"/>
              </w:rPr>
              <w:t>清单名称</w:t>
            </w:r>
          </w:p>
        </w:tc>
        <w:tc>
          <w:tcPr>
            <w:tcW w:w="3481"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bdr w:val="none" w:color="auto" w:sz="0" w:space="0"/>
                <w:lang w:val="en-US" w:eastAsia="zh-CN" w:bidi="ar"/>
              </w:rPr>
              <w:t>清单特征</w:t>
            </w:r>
          </w:p>
        </w:tc>
        <w:tc>
          <w:tcPr>
            <w:tcW w:w="452"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bdr w:val="none" w:color="auto" w:sz="0" w:space="0"/>
                <w:lang w:val="en-US" w:eastAsia="zh-CN" w:bidi="ar"/>
              </w:rPr>
              <w:t>单位</w:t>
            </w:r>
          </w:p>
        </w:tc>
        <w:tc>
          <w:tcPr>
            <w:tcW w:w="570"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bdr w:val="none" w:color="auto" w:sz="0" w:space="0"/>
                <w:lang w:val="en-US" w:eastAsia="zh-CN" w:bidi="ar"/>
              </w:rPr>
              <w:t>工程量</w:t>
            </w:r>
          </w:p>
        </w:tc>
        <w:tc>
          <w:tcPr>
            <w:tcW w:w="668"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bdr w:val="none" w:color="auto" w:sz="0" w:space="0"/>
                <w:lang w:val="en-US" w:eastAsia="zh-CN" w:bidi="ar"/>
              </w:rPr>
              <w:t>单价（元）</w:t>
            </w:r>
          </w:p>
        </w:tc>
        <w:tc>
          <w:tcPr>
            <w:tcW w:w="884"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bdr w:val="none" w:color="auto" w:sz="0" w:space="0"/>
                <w:lang w:val="en-US" w:eastAsia="zh-CN" w:bidi="ar"/>
              </w:rPr>
              <w:t>综合合价（元）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1"/>
                <w:szCs w:val="21"/>
                <w:u w:val="none"/>
              </w:rPr>
            </w:pPr>
          </w:p>
        </w:tc>
        <w:tc>
          <w:tcPr>
            <w:tcW w:w="2578"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1"/>
                <w:szCs w:val="21"/>
                <w:u w:val="none"/>
              </w:rPr>
            </w:pPr>
          </w:p>
        </w:tc>
        <w:tc>
          <w:tcPr>
            <w:tcW w:w="3481"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1"/>
                <w:szCs w:val="21"/>
                <w:u w:val="none"/>
              </w:rPr>
            </w:pPr>
          </w:p>
        </w:tc>
        <w:tc>
          <w:tcPr>
            <w:tcW w:w="452"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1"/>
                <w:szCs w:val="21"/>
                <w:u w:val="none"/>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1"/>
                <w:szCs w:val="21"/>
                <w:u w:val="none"/>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1"/>
                <w:szCs w:val="21"/>
                <w:u w:val="none"/>
              </w:rPr>
            </w:pPr>
          </w:p>
        </w:tc>
        <w:tc>
          <w:tcPr>
            <w:tcW w:w="884"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1"/>
                <w:szCs w:val="21"/>
                <w:u w:val="none"/>
              </w:rPr>
            </w:pPr>
          </w:p>
        </w:tc>
        <w:tc>
          <w:tcPr>
            <w:tcW w:w="2578"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1"/>
                <w:szCs w:val="21"/>
                <w:u w:val="none"/>
              </w:rPr>
            </w:pPr>
          </w:p>
        </w:tc>
        <w:tc>
          <w:tcPr>
            <w:tcW w:w="3481"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1"/>
                <w:szCs w:val="21"/>
                <w:u w:val="none"/>
              </w:rPr>
            </w:pPr>
          </w:p>
        </w:tc>
        <w:tc>
          <w:tcPr>
            <w:tcW w:w="452"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1"/>
                <w:szCs w:val="21"/>
                <w:u w:val="none"/>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1"/>
                <w:szCs w:val="21"/>
                <w:u w:val="none"/>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1"/>
                <w:szCs w:val="21"/>
                <w:u w:val="none"/>
              </w:rPr>
            </w:pPr>
          </w:p>
        </w:tc>
        <w:tc>
          <w:tcPr>
            <w:tcW w:w="884"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80" w:hRule="atLeast"/>
        </w:trPr>
        <w:tc>
          <w:tcPr>
            <w:tcW w:w="650" w:type="dxa"/>
            <w:tcBorders>
              <w:top w:val="single" w:color="000000" w:sz="4" w:space="0"/>
              <w:left w:val="single" w:color="000000" w:sz="8"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257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平板型太阳能集热器 P-G/0.6-L/HG-1.90-4</w:t>
            </w:r>
          </w:p>
        </w:tc>
        <w:tc>
          <w:tcPr>
            <w:tcW w:w="348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1、规格：详见图纸</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2、含钢支撑及混凝土基础（设备支撑基础）</w:t>
            </w:r>
          </w:p>
        </w:tc>
        <w:tc>
          <w:tcPr>
            <w:tcW w:w="45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m2</w:t>
            </w:r>
          </w:p>
        </w:tc>
        <w:tc>
          <w:tcPr>
            <w:tcW w:w="5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272</w:t>
            </w:r>
          </w:p>
        </w:tc>
        <w:tc>
          <w:tcPr>
            <w:tcW w:w="668" w:type="dxa"/>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0" w:hRule="atLeast"/>
        </w:trPr>
        <w:tc>
          <w:tcPr>
            <w:tcW w:w="650" w:type="dxa"/>
            <w:tcBorders>
              <w:top w:val="single" w:color="000000" w:sz="4" w:space="0"/>
              <w:left w:val="single" w:color="000000" w:sz="8"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w:t>
            </w:r>
          </w:p>
        </w:tc>
        <w:tc>
          <w:tcPr>
            <w:tcW w:w="257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空气源热泵机组   KFRS-5</w:t>
            </w:r>
          </w:p>
        </w:tc>
        <w:tc>
          <w:tcPr>
            <w:tcW w:w="348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技术参数：详见图纸</w:t>
            </w:r>
          </w:p>
        </w:tc>
        <w:tc>
          <w:tcPr>
            <w:tcW w:w="45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组</w:t>
            </w:r>
          </w:p>
        </w:tc>
        <w:tc>
          <w:tcPr>
            <w:tcW w:w="5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8</w:t>
            </w:r>
          </w:p>
        </w:tc>
        <w:tc>
          <w:tcPr>
            <w:tcW w:w="668" w:type="dxa"/>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50" w:type="dxa"/>
            <w:tcBorders>
              <w:top w:val="single" w:color="000000" w:sz="4" w:space="0"/>
              <w:left w:val="single" w:color="000000" w:sz="8"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w:t>
            </w:r>
          </w:p>
        </w:tc>
        <w:tc>
          <w:tcPr>
            <w:tcW w:w="257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热水箱Φ1800*2400</w:t>
            </w:r>
          </w:p>
        </w:tc>
        <w:tc>
          <w:tcPr>
            <w:tcW w:w="348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材质、类型：开式/不锈钢/聚氨酯发泡保温,有效容积5T</w:t>
            </w:r>
          </w:p>
        </w:tc>
        <w:tc>
          <w:tcPr>
            <w:tcW w:w="45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5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w:t>
            </w:r>
          </w:p>
        </w:tc>
        <w:tc>
          <w:tcPr>
            <w:tcW w:w="668" w:type="dxa"/>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50" w:type="dxa"/>
            <w:tcBorders>
              <w:top w:val="single" w:color="000000" w:sz="4" w:space="0"/>
              <w:left w:val="single" w:color="000000" w:sz="8"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w:t>
            </w:r>
          </w:p>
        </w:tc>
        <w:tc>
          <w:tcPr>
            <w:tcW w:w="257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变频供水泵 MHI1604</w:t>
            </w:r>
          </w:p>
        </w:tc>
        <w:tc>
          <w:tcPr>
            <w:tcW w:w="348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规格：Q=18m3/h、H=30m、P=2.2kW(一备一用)</w:t>
            </w:r>
          </w:p>
        </w:tc>
        <w:tc>
          <w:tcPr>
            <w:tcW w:w="45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5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16</w:t>
            </w:r>
          </w:p>
        </w:tc>
        <w:tc>
          <w:tcPr>
            <w:tcW w:w="668" w:type="dxa"/>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50" w:type="dxa"/>
            <w:tcBorders>
              <w:top w:val="single" w:color="000000" w:sz="4" w:space="0"/>
              <w:left w:val="single" w:color="000000" w:sz="8"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w:t>
            </w:r>
          </w:p>
        </w:tc>
        <w:tc>
          <w:tcPr>
            <w:tcW w:w="257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空气源热泵循环泵PH-257E</w:t>
            </w:r>
          </w:p>
        </w:tc>
        <w:tc>
          <w:tcPr>
            <w:tcW w:w="348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功率：Q=11.4m3/h、H=4m、P=0.41kW</w:t>
            </w:r>
          </w:p>
        </w:tc>
        <w:tc>
          <w:tcPr>
            <w:tcW w:w="45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5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8</w:t>
            </w:r>
          </w:p>
        </w:tc>
        <w:tc>
          <w:tcPr>
            <w:tcW w:w="668" w:type="dxa"/>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50" w:type="dxa"/>
            <w:tcBorders>
              <w:top w:val="single" w:color="000000" w:sz="4" w:space="0"/>
              <w:left w:val="single" w:color="000000" w:sz="8"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6</w:t>
            </w:r>
          </w:p>
        </w:tc>
        <w:tc>
          <w:tcPr>
            <w:tcW w:w="257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集热循环泵   IPL40/160-4/2</w:t>
            </w:r>
          </w:p>
        </w:tc>
        <w:tc>
          <w:tcPr>
            <w:tcW w:w="348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功率：Q=20m3/h、H=30m、P=4.0kW</w:t>
            </w:r>
          </w:p>
        </w:tc>
        <w:tc>
          <w:tcPr>
            <w:tcW w:w="45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5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8</w:t>
            </w:r>
          </w:p>
        </w:tc>
        <w:tc>
          <w:tcPr>
            <w:tcW w:w="668" w:type="dxa"/>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50" w:type="dxa"/>
            <w:tcBorders>
              <w:top w:val="single" w:color="000000" w:sz="4" w:space="0"/>
              <w:left w:val="single" w:color="000000" w:sz="8"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7</w:t>
            </w:r>
          </w:p>
        </w:tc>
        <w:tc>
          <w:tcPr>
            <w:tcW w:w="257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换热循环泵PH-150E</w:t>
            </w:r>
          </w:p>
        </w:tc>
        <w:tc>
          <w:tcPr>
            <w:tcW w:w="348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功率：Q=8.1m3/h、H=3m、P=0.265kW</w:t>
            </w:r>
          </w:p>
        </w:tc>
        <w:tc>
          <w:tcPr>
            <w:tcW w:w="45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5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8</w:t>
            </w:r>
          </w:p>
        </w:tc>
        <w:tc>
          <w:tcPr>
            <w:tcW w:w="668" w:type="dxa"/>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0" w:type="dxa"/>
            <w:tcBorders>
              <w:top w:val="single" w:color="000000" w:sz="4" w:space="0"/>
              <w:left w:val="single" w:color="000000" w:sz="8"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8</w:t>
            </w:r>
          </w:p>
        </w:tc>
        <w:tc>
          <w:tcPr>
            <w:tcW w:w="257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板式换热器</w:t>
            </w:r>
          </w:p>
        </w:tc>
        <w:tc>
          <w:tcPr>
            <w:tcW w:w="348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型号：换热面积14m2</w:t>
            </w:r>
          </w:p>
        </w:tc>
        <w:tc>
          <w:tcPr>
            <w:tcW w:w="45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5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w:t>
            </w:r>
          </w:p>
        </w:tc>
        <w:tc>
          <w:tcPr>
            <w:tcW w:w="668" w:type="dxa"/>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650" w:type="dxa"/>
            <w:tcBorders>
              <w:top w:val="single" w:color="000000" w:sz="4" w:space="0"/>
              <w:left w:val="single" w:color="000000" w:sz="8"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9</w:t>
            </w:r>
          </w:p>
        </w:tc>
        <w:tc>
          <w:tcPr>
            <w:tcW w:w="257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电磁阀DN40</w:t>
            </w:r>
          </w:p>
        </w:tc>
        <w:tc>
          <w:tcPr>
            <w:tcW w:w="348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技术参数：220v/50Hz</w:t>
            </w:r>
          </w:p>
        </w:tc>
        <w:tc>
          <w:tcPr>
            <w:tcW w:w="45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个</w:t>
            </w:r>
          </w:p>
        </w:tc>
        <w:tc>
          <w:tcPr>
            <w:tcW w:w="5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8</w:t>
            </w:r>
          </w:p>
        </w:tc>
        <w:tc>
          <w:tcPr>
            <w:tcW w:w="668" w:type="dxa"/>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650" w:type="dxa"/>
            <w:tcBorders>
              <w:top w:val="single" w:color="000000" w:sz="4" w:space="0"/>
              <w:left w:val="single" w:color="000000" w:sz="8"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10</w:t>
            </w:r>
          </w:p>
        </w:tc>
        <w:tc>
          <w:tcPr>
            <w:tcW w:w="257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控制系统</w:t>
            </w:r>
          </w:p>
        </w:tc>
        <w:tc>
          <w:tcPr>
            <w:tcW w:w="348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 xml:space="preserve">1：户外不锈钢材质                   2：触摸屏控制水温 水位调节功能                           3：满足太阳能与空气能使用功能               4.含温度探头(4支)          </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5.含液位控制仪</w:t>
            </w:r>
          </w:p>
        </w:tc>
        <w:tc>
          <w:tcPr>
            <w:tcW w:w="45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w:t>
            </w:r>
          </w:p>
        </w:tc>
        <w:tc>
          <w:tcPr>
            <w:tcW w:w="668" w:type="dxa"/>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650" w:type="dxa"/>
            <w:tcBorders>
              <w:top w:val="single" w:color="000000" w:sz="4" w:space="0"/>
              <w:left w:val="single" w:color="000000" w:sz="8"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11</w:t>
            </w:r>
          </w:p>
        </w:tc>
        <w:tc>
          <w:tcPr>
            <w:tcW w:w="257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补液膨胀箱300L</w:t>
            </w:r>
          </w:p>
        </w:tc>
        <w:tc>
          <w:tcPr>
            <w:tcW w:w="348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材质、类型：开式/不锈钢/聚氨酯发泡保温</w:t>
            </w:r>
          </w:p>
        </w:tc>
        <w:tc>
          <w:tcPr>
            <w:tcW w:w="45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5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w:t>
            </w:r>
          </w:p>
        </w:tc>
        <w:tc>
          <w:tcPr>
            <w:tcW w:w="668" w:type="dxa"/>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50" w:type="dxa"/>
            <w:tcBorders>
              <w:top w:val="single" w:color="000000" w:sz="4" w:space="0"/>
              <w:left w:val="single" w:color="000000" w:sz="8"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12</w:t>
            </w:r>
          </w:p>
        </w:tc>
        <w:tc>
          <w:tcPr>
            <w:tcW w:w="2578"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紫外线消毒仪</w:t>
            </w:r>
          </w:p>
        </w:tc>
        <w:tc>
          <w:tcPr>
            <w:tcW w:w="3481"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型号、规格：流量60m3/h 功率600W</w:t>
            </w:r>
          </w:p>
        </w:tc>
        <w:tc>
          <w:tcPr>
            <w:tcW w:w="452"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570"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w:t>
            </w:r>
          </w:p>
        </w:tc>
        <w:tc>
          <w:tcPr>
            <w:tcW w:w="668" w:type="dxa"/>
            <w:tcBorders>
              <w:top w:val="single" w:color="000000" w:sz="4" w:space="0"/>
              <w:left w:val="single" w:color="000000" w:sz="4" w:space="0"/>
              <w:bottom w:val="nil"/>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884"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5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13</w:t>
            </w:r>
          </w:p>
        </w:tc>
        <w:tc>
          <w:tcPr>
            <w:tcW w:w="7749" w:type="dxa"/>
            <w:gridSpan w:val="5"/>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1"/>
                <w:szCs w:val="21"/>
                <w:u w:val="none"/>
                <w:bdr w:val="none" w:color="auto" w:sz="0" w:space="0"/>
                <w:lang w:val="en-US" w:eastAsia="zh-CN" w:bidi="ar"/>
              </w:rPr>
              <w:t>合计</w:t>
            </w:r>
          </w:p>
        </w:tc>
        <w:tc>
          <w:tcPr>
            <w:tcW w:w="88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283" w:type="dxa"/>
            <w:gridSpan w:val="7"/>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备注：上述单价包含设备的成本、利润、税费（13%增值税）、设备与管道接口处安装、设备自身安装、调试等费用，不含基础、管道、阀门费用。</w:t>
            </w:r>
          </w:p>
        </w:tc>
      </w:tr>
    </w:tbl>
    <w:p>
      <w:pPr>
        <w:pStyle w:val="12"/>
        <w:adjustRightInd w:val="0"/>
        <w:snapToGrid w:val="0"/>
        <w:jc w:val="center"/>
        <w:rPr>
          <w:rFonts w:ascii="Times New Roman" w:hAnsi="Times New Roman" w:cs="Times New Roman"/>
          <w:highlight w:val="none"/>
        </w:rPr>
      </w:pPr>
    </w:p>
    <w:p>
      <w:r>
        <w:br w:type="page"/>
      </w:r>
    </w:p>
    <w:tbl>
      <w:tblPr>
        <w:tblW w:w="9483" w:type="dxa"/>
        <w:tblInd w:w="-4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461"/>
        <w:gridCol w:w="2430"/>
        <w:gridCol w:w="3213"/>
        <w:gridCol w:w="458"/>
        <w:gridCol w:w="565"/>
        <w:gridCol w:w="1106"/>
        <w:gridCol w:w="1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3" w:hRule="atLeast"/>
        </w:trPr>
        <w:tc>
          <w:tcPr>
            <w:tcW w:w="6104" w:type="dxa"/>
            <w:gridSpan w:val="3"/>
            <w:tcBorders>
              <w:top w:val="nil"/>
              <w:left w:val="nil"/>
              <w:bottom w:val="nil"/>
              <w:right w:val="nil"/>
            </w:tcBorders>
            <w:shd w:val="clear"/>
            <w:vAlign w:val="center"/>
          </w:tcPr>
          <w:p>
            <w:pPr>
              <w:keepNext w:val="0"/>
              <w:keepLines w:val="0"/>
              <w:widowControl/>
              <w:suppressLineNumbers w:val="0"/>
              <w:jc w:val="both"/>
              <w:textAlignment w:val="center"/>
              <w:rPr>
                <w:rFonts w:ascii="黑体" w:hAnsi="宋体" w:eastAsia="黑体" w:cs="黑体"/>
                <w:i w:val="0"/>
                <w:iCs w:val="0"/>
                <w:color w:val="000000"/>
                <w:sz w:val="21"/>
                <w:szCs w:val="21"/>
                <w:u w:val="none"/>
              </w:rPr>
            </w:pPr>
            <w:r>
              <w:rPr>
                <w:rFonts w:hint="eastAsia" w:ascii="黑体" w:hAnsi="宋体" w:eastAsia="黑体" w:cs="黑体"/>
                <w:i w:val="0"/>
                <w:iCs w:val="0"/>
                <w:color w:val="000000"/>
                <w:kern w:val="0"/>
                <w:sz w:val="32"/>
                <w:szCs w:val="32"/>
                <w:u w:val="none"/>
                <w:bdr w:val="none" w:color="auto" w:sz="0" w:space="0"/>
                <w:lang w:val="en-US" w:eastAsia="zh-CN" w:bidi="ar"/>
              </w:rPr>
              <w:t>收费站宿舍楼</w:t>
            </w:r>
          </w:p>
        </w:tc>
        <w:tc>
          <w:tcPr>
            <w:tcW w:w="458" w:type="dxa"/>
            <w:tcBorders>
              <w:top w:val="nil"/>
              <w:left w:val="nil"/>
              <w:bottom w:val="nil"/>
              <w:right w:val="nil"/>
            </w:tcBorders>
            <w:shd w:val="clear"/>
            <w:vAlign w:val="center"/>
          </w:tcPr>
          <w:p>
            <w:pPr>
              <w:jc w:val="left"/>
              <w:rPr>
                <w:rFonts w:hint="eastAsia" w:ascii="黑体" w:hAnsi="宋体" w:eastAsia="黑体" w:cs="黑体"/>
                <w:i w:val="0"/>
                <w:iCs w:val="0"/>
                <w:color w:val="000000"/>
                <w:sz w:val="21"/>
                <w:szCs w:val="21"/>
                <w:u w:val="none"/>
              </w:rPr>
            </w:pPr>
          </w:p>
        </w:tc>
        <w:tc>
          <w:tcPr>
            <w:tcW w:w="565" w:type="dxa"/>
            <w:tcBorders>
              <w:top w:val="nil"/>
              <w:left w:val="nil"/>
              <w:bottom w:val="nil"/>
              <w:right w:val="nil"/>
            </w:tcBorders>
            <w:shd w:val="clear"/>
            <w:vAlign w:val="center"/>
          </w:tcPr>
          <w:p>
            <w:pPr>
              <w:jc w:val="center"/>
              <w:rPr>
                <w:rFonts w:hint="eastAsia" w:ascii="黑体" w:hAnsi="宋体" w:eastAsia="黑体" w:cs="黑体"/>
                <w:i w:val="0"/>
                <w:iCs w:val="0"/>
                <w:color w:val="000000"/>
                <w:sz w:val="21"/>
                <w:szCs w:val="21"/>
                <w:u w:val="none"/>
              </w:rPr>
            </w:pPr>
          </w:p>
        </w:tc>
        <w:tc>
          <w:tcPr>
            <w:tcW w:w="1106" w:type="dxa"/>
            <w:tcBorders>
              <w:top w:val="nil"/>
              <w:left w:val="nil"/>
              <w:bottom w:val="nil"/>
              <w:right w:val="nil"/>
            </w:tcBorders>
            <w:shd w:val="clear"/>
            <w:vAlign w:val="center"/>
          </w:tcPr>
          <w:p>
            <w:pPr>
              <w:jc w:val="center"/>
              <w:rPr>
                <w:rFonts w:hint="eastAsia" w:ascii="黑体" w:hAnsi="宋体" w:eastAsia="黑体" w:cs="黑体"/>
                <w:i w:val="0"/>
                <w:iCs w:val="0"/>
                <w:color w:val="000000"/>
                <w:sz w:val="21"/>
                <w:szCs w:val="21"/>
                <w:u w:val="none"/>
              </w:rPr>
            </w:pPr>
          </w:p>
        </w:tc>
        <w:tc>
          <w:tcPr>
            <w:tcW w:w="1250" w:type="dxa"/>
            <w:tcBorders>
              <w:top w:val="nil"/>
              <w:left w:val="nil"/>
              <w:bottom w:val="nil"/>
              <w:right w:val="nil"/>
            </w:tcBorders>
            <w:shd w:val="clear"/>
            <w:noWrap/>
            <w:vAlign w:val="center"/>
          </w:tcPr>
          <w:p>
            <w:pPr>
              <w:jc w:val="center"/>
              <w:rPr>
                <w:rFonts w:hint="eastAsia" w:ascii="黑体" w:hAnsi="宋体" w:eastAsia="黑体" w:cs="黑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46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bdr w:val="none" w:color="auto" w:sz="0" w:space="0"/>
                <w:lang w:val="en-US" w:eastAsia="zh-CN" w:bidi="ar"/>
              </w:rPr>
              <w:t>序号</w:t>
            </w:r>
          </w:p>
        </w:tc>
        <w:tc>
          <w:tcPr>
            <w:tcW w:w="243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bdr w:val="none" w:color="auto" w:sz="0" w:space="0"/>
                <w:lang w:val="en-US" w:eastAsia="zh-CN" w:bidi="ar"/>
              </w:rPr>
              <w:t>项目名称</w:t>
            </w:r>
          </w:p>
        </w:tc>
        <w:tc>
          <w:tcPr>
            <w:tcW w:w="321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bdr w:val="none" w:color="auto" w:sz="0" w:space="0"/>
                <w:lang w:val="en-US" w:eastAsia="zh-CN" w:bidi="ar"/>
              </w:rPr>
              <w:t>项目特征描述</w:t>
            </w:r>
          </w:p>
        </w:tc>
        <w:tc>
          <w:tcPr>
            <w:tcW w:w="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bdr w:val="none" w:color="auto" w:sz="0" w:space="0"/>
                <w:lang w:val="en-US" w:eastAsia="zh-CN" w:bidi="ar"/>
              </w:rPr>
              <w:t>计量</w:t>
            </w:r>
            <w:r>
              <w:rPr>
                <w:rFonts w:hint="eastAsia" w:ascii="黑体" w:hAnsi="宋体" w:eastAsia="黑体" w:cs="黑体"/>
                <w:i w:val="0"/>
                <w:iCs w:val="0"/>
                <w:color w:val="000000"/>
                <w:kern w:val="0"/>
                <w:sz w:val="22"/>
                <w:szCs w:val="22"/>
                <w:u w:val="none"/>
                <w:bdr w:val="none" w:color="auto" w:sz="0" w:space="0"/>
                <w:lang w:val="en-US" w:eastAsia="zh-CN" w:bidi="ar"/>
              </w:rPr>
              <w:br w:type="textWrapping"/>
            </w:r>
            <w:r>
              <w:rPr>
                <w:rFonts w:hint="eastAsia" w:ascii="黑体" w:hAnsi="宋体" w:eastAsia="黑体" w:cs="黑体"/>
                <w:i w:val="0"/>
                <w:iCs w:val="0"/>
                <w:color w:val="000000"/>
                <w:kern w:val="0"/>
                <w:sz w:val="22"/>
                <w:szCs w:val="22"/>
                <w:u w:val="none"/>
                <w:bdr w:val="none" w:color="auto" w:sz="0" w:space="0"/>
                <w:lang w:val="en-US" w:eastAsia="zh-CN" w:bidi="ar"/>
              </w:rPr>
              <w:t>单位</w:t>
            </w:r>
          </w:p>
        </w:tc>
        <w:tc>
          <w:tcPr>
            <w:tcW w:w="56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bdr w:val="none" w:color="auto" w:sz="0" w:space="0"/>
                <w:lang w:val="en-US" w:eastAsia="zh-CN" w:bidi="ar"/>
              </w:rPr>
              <w:t>工程量</w:t>
            </w:r>
          </w:p>
        </w:tc>
        <w:tc>
          <w:tcPr>
            <w:tcW w:w="1106"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单价（元）</w:t>
            </w:r>
          </w:p>
        </w:tc>
        <w:tc>
          <w:tcPr>
            <w:tcW w:w="1250"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1"/>
                <w:szCs w:val="21"/>
                <w:u w:val="none"/>
                <w:lang w:val="en-US" w:eastAsia="zh-CN" w:bidi="ar"/>
              </w:rPr>
              <w:t>综合合价（元）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46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宋体" w:eastAsia="黑体" w:cs="黑体"/>
                <w:i w:val="0"/>
                <w:iCs w:val="0"/>
                <w:color w:val="000000"/>
                <w:sz w:val="22"/>
                <w:szCs w:val="22"/>
                <w:u w:val="none"/>
              </w:rPr>
            </w:pPr>
          </w:p>
        </w:tc>
        <w:tc>
          <w:tcPr>
            <w:tcW w:w="24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宋体" w:eastAsia="黑体" w:cs="黑体"/>
                <w:i w:val="0"/>
                <w:iCs w:val="0"/>
                <w:color w:val="000000"/>
                <w:sz w:val="22"/>
                <w:szCs w:val="22"/>
                <w:u w:val="none"/>
              </w:rPr>
            </w:pPr>
          </w:p>
        </w:tc>
        <w:tc>
          <w:tcPr>
            <w:tcW w:w="32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宋体" w:eastAsia="黑体" w:cs="黑体"/>
                <w:i w:val="0"/>
                <w:iCs w:val="0"/>
                <w:color w:val="000000"/>
                <w:sz w:val="22"/>
                <w:szCs w:val="22"/>
                <w:u w:val="none"/>
              </w:rPr>
            </w:pPr>
          </w:p>
        </w:tc>
        <w:tc>
          <w:tcPr>
            <w:tcW w:w="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宋体" w:eastAsia="黑体" w:cs="黑体"/>
                <w:i w:val="0"/>
                <w:iCs w:val="0"/>
                <w:color w:val="000000"/>
                <w:sz w:val="22"/>
                <w:szCs w:val="22"/>
                <w:u w:val="none"/>
              </w:rPr>
            </w:pP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宋体" w:eastAsia="黑体" w:cs="黑体"/>
                <w:i w:val="0"/>
                <w:iCs w:val="0"/>
                <w:color w:val="000000"/>
                <w:sz w:val="22"/>
                <w:szCs w:val="22"/>
                <w:u w:val="none"/>
              </w:rPr>
            </w:pPr>
          </w:p>
        </w:tc>
        <w:tc>
          <w:tcPr>
            <w:tcW w:w="1106"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1"/>
                <w:szCs w:val="21"/>
                <w:u w:val="none"/>
              </w:rPr>
            </w:pPr>
          </w:p>
        </w:tc>
        <w:tc>
          <w:tcPr>
            <w:tcW w:w="125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46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宋体" w:eastAsia="黑体" w:cs="黑体"/>
                <w:i w:val="0"/>
                <w:iCs w:val="0"/>
                <w:color w:val="000000"/>
                <w:sz w:val="22"/>
                <w:szCs w:val="22"/>
                <w:u w:val="none"/>
              </w:rPr>
            </w:pPr>
          </w:p>
        </w:tc>
        <w:tc>
          <w:tcPr>
            <w:tcW w:w="24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宋体" w:eastAsia="黑体" w:cs="黑体"/>
                <w:i w:val="0"/>
                <w:iCs w:val="0"/>
                <w:color w:val="000000"/>
                <w:sz w:val="22"/>
                <w:szCs w:val="22"/>
                <w:u w:val="none"/>
              </w:rPr>
            </w:pPr>
          </w:p>
        </w:tc>
        <w:tc>
          <w:tcPr>
            <w:tcW w:w="32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宋体" w:eastAsia="黑体" w:cs="黑体"/>
                <w:i w:val="0"/>
                <w:iCs w:val="0"/>
                <w:color w:val="000000"/>
                <w:sz w:val="22"/>
                <w:szCs w:val="22"/>
                <w:u w:val="none"/>
              </w:rPr>
            </w:pPr>
          </w:p>
        </w:tc>
        <w:tc>
          <w:tcPr>
            <w:tcW w:w="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宋体" w:eastAsia="黑体" w:cs="黑体"/>
                <w:i w:val="0"/>
                <w:iCs w:val="0"/>
                <w:color w:val="000000"/>
                <w:sz w:val="22"/>
                <w:szCs w:val="22"/>
                <w:u w:val="none"/>
              </w:rPr>
            </w:pPr>
          </w:p>
        </w:tc>
        <w:tc>
          <w:tcPr>
            <w:tcW w:w="56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黑体" w:hAnsi="宋体" w:eastAsia="黑体" w:cs="黑体"/>
                <w:i w:val="0"/>
                <w:iCs w:val="0"/>
                <w:color w:val="000000"/>
                <w:sz w:val="22"/>
                <w:szCs w:val="22"/>
                <w:u w:val="none"/>
              </w:rPr>
            </w:pPr>
          </w:p>
        </w:tc>
        <w:tc>
          <w:tcPr>
            <w:tcW w:w="1106"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1"/>
                <w:szCs w:val="21"/>
                <w:u w:val="none"/>
              </w:rPr>
            </w:pPr>
          </w:p>
        </w:tc>
        <w:tc>
          <w:tcPr>
            <w:tcW w:w="125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46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平板型太阳能集热器   P-G/0.6-L/HG-1.90-4</w:t>
            </w:r>
          </w:p>
        </w:tc>
        <w:tc>
          <w:tcPr>
            <w:tcW w:w="32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1、规格：详见图纸</w:t>
            </w:r>
            <w:r>
              <w:rPr>
                <w:rFonts w:hint="eastAsia" w:ascii="宋体" w:hAnsi="宋体" w:eastAsia="宋体" w:cs="宋体"/>
                <w:i w:val="0"/>
                <w:iCs w:val="0"/>
                <w:color w:val="000000"/>
                <w:kern w:val="0"/>
                <w:sz w:val="21"/>
                <w:szCs w:val="21"/>
                <w:u w:val="none"/>
                <w:bdr w:val="none" w:color="auto" w:sz="0" w:space="0"/>
                <w:lang w:val="en-US" w:eastAsia="zh-CN" w:bidi="ar"/>
              </w:rPr>
              <w:br w:type="textWrapping"/>
            </w:r>
            <w:r>
              <w:rPr>
                <w:rFonts w:hint="eastAsia" w:ascii="宋体" w:hAnsi="宋体" w:eastAsia="宋体" w:cs="宋体"/>
                <w:i w:val="0"/>
                <w:iCs w:val="0"/>
                <w:color w:val="000000"/>
                <w:kern w:val="0"/>
                <w:sz w:val="21"/>
                <w:szCs w:val="21"/>
                <w:u w:val="none"/>
                <w:bdr w:val="none" w:color="auto" w:sz="0" w:space="0"/>
                <w:lang w:val="en-US" w:eastAsia="zh-CN" w:bidi="ar"/>
              </w:rPr>
              <w:t>2、含钢支撑及混凝土基础</w:t>
            </w:r>
            <w:r>
              <w:rPr>
                <w:rFonts w:hint="eastAsia" w:ascii="宋体" w:hAnsi="宋体" w:eastAsia="宋体" w:cs="宋体"/>
                <w:i w:val="0"/>
                <w:iCs w:val="0"/>
                <w:color w:val="000000"/>
                <w:kern w:val="0"/>
                <w:sz w:val="21"/>
                <w:szCs w:val="21"/>
                <w:u w:val="none"/>
                <w:lang w:val="en-US" w:eastAsia="zh-CN" w:bidi="ar"/>
              </w:rPr>
              <w:t>（设备支撑基础）</w:t>
            </w:r>
          </w:p>
        </w:tc>
        <w:tc>
          <w:tcPr>
            <w:tcW w:w="45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m2</w:t>
            </w:r>
          </w:p>
        </w:tc>
        <w:tc>
          <w:tcPr>
            <w:tcW w:w="56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180</w:t>
            </w:r>
          </w:p>
        </w:tc>
        <w:tc>
          <w:tcPr>
            <w:tcW w:w="1106" w:type="dxa"/>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0" w:hRule="atLeast"/>
        </w:trPr>
        <w:tc>
          <w:tcPr>
            <w:tcW w:w="46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空气源热泵机组   KRS-3</w:t>
            </w:r>
          </w:p>
        </w:tc>
        <w:tc>
          <w:tcPr>
            <w:tcW w:w="32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技术参数：详见图纸</w:t>
            </w:r>
          </w:p>
        </w:tc>
        <w:tc>
          <w:tcPr>
            <w:tcW w:w="45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组</w:t>
            </w:r>
          </w:p>
        </w:tc>
        <w:tc>
          <w:tcPr>
            <w:tcW w:w="56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10</w:t>
            </w:r>
          </w:p>
        </w:tc>
        <w:tc>
          <w:tcPr>
            <w:tcW w:w="1106" w:type="dxa"/>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65" w:hRule="atLeast"/>
        </w:trPr>
        <w:tc>
          <w:tcPr>
            <w:tcW w:w="46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热水箱Φ1300*1980</w:t>
            </w:r>
          </w:p>
        </w:tc>
        <w:tc>
          <w:tcPr>
            <w:tcW w:w="32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材质、类型：开式/不锈钢/聚氨酯发泡保温,有效容积2T</w:t>
            </w:r>
          </w:p>
        </w:tc>
        <w:tc>
          <w:tcPr>
            <w:tcW w:w="45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56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w:t>
            </w:r>
          </w:p>
        </w:tc>
        <w:tc>
          <w:tcPr>
            <w:tcW w:w="1106" w:type="dxa"/>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0" w:hRule="atLeast"/>
        </w:trPr>
        <w:tc>
          <w:tcPr>
            <w:tcW w:w="46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变频供水泵 MHI1604</w:t>
            </w:r>
          </w:p>
        </w:tc>
        <w:tc>
          <w:tcPr>
            <w:tcW w:w="32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规格：Q=18m3/h、H=30m、P=2.2kW(一备一用)</w:t>
            </w:r>
          </w:p>
        </w:tc>
        <w:tc>
          <w:tcPr>
            <w:tcW w:w="45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56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10</w:t>
            </w:r>
          </w:p>
        </w:tc>
        <w:tc>
          <w:tcPr>
            <w:tcW w:w="1106" w:type="dxa"/>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6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空气源热泵循环泵  PH-257E</w:t>
            </w:r>
          </w:p>
        </w:tc>
        <w:tc>
          <w:tcPr>
            <w:tcW w:w="32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功率：Q=11.4m3/h、H=4m、P=0.41kW</w:t>
            </w:r>
          </w:p>
        </w:tc>
        <w:tc>
          <w:tcPr>
            <w:tcW w:w="45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56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10</w:t>
            </w:r>
          </w:p>
        </w:tc>
        <w:tc>
          <w:tcPr>
            <w:tcW w:w="1106" w:type="dxa"/>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6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6</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集热循环泵   IPL40/160-4/2</w:t>
            </w:r>
          </w:p>
        </w:tc>
        <w:tc>
          <w:tcPr>
            <w:tcW w:w="32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功率：Q=20m3/h、H=30m、P=4.0kW</w:t>
            </w:r>
          </w:p>
        </w:tc>
        <w:tc>
          <w:tcPr>
            <w:tcW w:w="45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56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10</w:t>
            </w:r>
          </w:p>
        </w:tc>
        <w:tc>
          <w:tcPr>
            <w:tcW w:w="1106" w:type="dxa"/>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6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7</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换热循环泵PH-150E</w:t>
            </w:r>
          </w:p>
        </w:tc>
        <w:tc>
          <w:tcPr>
            <w:tcW w:w="32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功率：Q=8.1m3/h、H=3m、P=0.265kW</w:t>
            </w:r>
          </w:p>
        </w:tc>
        <w:tc>
          <w:tcPr>
            <w:tcW w:w="45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56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10</w:t>
            </w:r>
          </w:p>
        </w:tc>
        <w:tc>
          <w:tcPr>
            <w:tcW w:w="1106" w:type="dxa"/>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46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8</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板式换热器</w:t>
            </w:r>
          </w:p>
        </w:tc>
        <w:tc>
          <w:tcPr>
            <w:tcW w:w="32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型号：换热面积14m2</w:t>
            </w:r>
          </w:p>
        </w:tc>
        <w:tc>
          <w:tcPr>
            <w:tcW w:w="45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56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w:t>
            </w:r>
          </w:p>
        </w:tc>
        <w:tc>
          <w:tcPr>
            <w:tcW w:w="1106" w:type="dxa"/>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46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9</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电磁阀DN40</w:t>
            </w:r>
          </w:p>
        </w:tc>
        <w:tc>
          <w:tcPr>
            <w:tcW w:w="32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技术参数：220v/50Hz</w:t>
            </w:r>
          </w:p>
        </w:tc>
        <w:tc>
          <w:tcPr>
            <w:tcW w:w="45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个</w:t>
            </w:r>
          </w:p>
        </w:tc>
        <w:tc>
          <w:tcPr>
            <w:tcW w:w="56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w:t>
            </w:r>
          </w:p>
        </w:tc>
        <w:tc>
          <w:tcPr>
            <w:tcW w:w="1106" w:type="dxa"/>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461"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10</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控制系统</w:t>
            </w:r>
          </w:p>
        </w:tc>
        <w:tc>
          <w:tcPr>
            <w:tcW w:w="32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1：户外不锈钢材质                   2：触摸屏控制水温 水位调节功能                           3：满足太阳能与空气能使用功能               4.含温度探头(4支)          5.含液位控制仪</w:t>
            </w:r>
          </w:p>
        </w:tc>
        <w:tc>
          <w:tcPr>
            <w:tcW w:w="45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套</w:t>
            </w:r>
          </w:p>
        </w:tc>
        <w:tc>
          <w:tcPr>
            <w:tcW w:w="56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w:t>
            </w:r>
          </w:p>
        </w:tc>
        <w:tc>
          <w:tcPr>
            <w:tcW w:w="1106" w:type="dxa"/>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61"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11</w:t>
            </w:r>
          </w:p>
        </w:tc>
        <w:tc>
          <w:tcPr>
            <w:tcW w:w="2430"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补液膨胀箱300L</w:t>
            </w:r>
          </w:p>
        </w:tc>
        <w:tc>
          <w:tcPr>
            <w:tcW w:w="3213"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材质、类型：开式/不锈钢/聚氨酯发泡保温</w:t>
            </w:r>
          </w:p>
        </w:tc>
        <w:tc>
          <w:tcPr>
            <w:tcW w:w="458"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w:t>
            </w:r>
          </w:p>
        </w:tc>
        <w:tc>
          <w:tcPr>
            <w:tcW w:w="565"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w:t>
            </w:r>
          </w:p>
        </w:tc>
        <w:tc>
          <w:tcPr>
            <w:tcW w:w="1106" w:type="dxa"/>
            <w:tcBorders>
              <w:top w:val="single" w:color="000000" w:sz="4" w:space="0"/>
              <w:left w:val="single" w:color="000000" w:sz="4" w:space="0"/>
              <w:bottom w:val="nil"/>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61" w:type="dxa"/>
            <w:tcBorders>
              <w:top w:val="single" w:color="000000" w:sz="4" w:space="0"/>
              <w:left w:val="single" w:color="000000" w:sz="4" w:space="0"/>
              <w:bottom w:val="single" w:color="000000" w:sz="4" w:space="0"/>
              <w:right w:val="single" w:color="000000" w:sz="4" w:space="0"/>
            </w:tcBorders>
            <w:shd w:val="clear"/>
            <w:noWrap/>
            <w:vAlign w:val="bottom"/>
          </w:tcPr>
          <w:p>
            <w:pPr>
              <w:keepNext w:val="0"/>
              <w:keepLines w:val="0"/>
              <w:widowControl/>
              <w:suppressLineNumbers w:val="0"/>
              <w:jc w:val="right"/>
              <w:textAlignment w:val="bottom"/>
              <w:rPr>
                <w:rFonts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bdr w:val="none" w:color="auto" w:sz="0" w:space="0"/>
                <w:lang w:val="en-US" w:eastAsia="zh-CN" w:bidi="ar"/>
              </w:rPr>
              <w:t>12</w:t>
            </w:r>
          </w:p>
        </w:tc>
        <w:tc>
          <w:tcPr>
            <w:tcW w:w="7772" w:type="dxa"/>
            <w:gridSpan w:val="5"/>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default" w:ascii="Arial" w:hAnsi="Arial" w:eastAsia="宋体" w:cs="Arial"/>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合计</w:t>
            </w:r>
          </w:p>
        </w:tc>
        <w:tc>
          <w:tcPr>
            <w:tcW w:w="1250" w:type="dxa"/>
            <w:tcBorders>
              <w:top w:val="single" w:color="000000" w:sz="4" w:space="0"/>
              <w:left w:val="single" w:color="000000" w:sz="4" w:space="0"/>
              <w:bottom w:val="single" w:color="000000" w:sz="4" w:space="0"/>
              <w:right w:val="single" w:color="000000" w:sz="4" w:space="0"/>
            </w:tcBorders>
            <w:shd w:val="clear"/>
            <w:noWrap/>
            <w:vAlign w:val="bottom"/>
          </w:tcPr>
          <w:p>
            <w:pPr>
              <w:jc w:val="center"/>
              <w:rPr>
                <w:rFonts w:hint="default" w:ascii="Arial" w:hAnsi="Arial" w:eastAsia="宋体"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483" w:type="dxa"/>
            <w:gridSpan w:val="7"/>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default"/>
                <w:lang w:val="en-US"/>
              </w:rPr>
            </w:pPr>
            <w:r>
              <w:rPr>
                <w:rFonts w:hint="eastAsia" w:ascii="宋体" w:hAnsi="宋体" w:eastAsia="宋体" w:cs="宋体"/>
                <w:i w:val="0"/>
                <w:iCs w:val="0"/>
                <w:color w:val="000000"/>
                <w:kern w:val="0"/>
                <w:sz w:val="20"/>
                <w:szCs w:val="20"/>
                <w:u w:val="none"/>
                <w:bdr w:val="none" w:color="auto" w:sz="0" w:space="0"/>
                <w:lang w:val="en-US" w:eastAsia="zh-CN" w:bidi="ar"/>
              </w:rPr>
              <w:t>备注：上述单价包含设备的成本、利润、税费（13%增值税）、设备与管道接口处安装、设备自身安装、调试等费用，不含基础、管道、阀门费用。</w:t>
            </w:r>
          </w:p>
        </w:tc>
      </w:tr>
    </w:tbl>
    <w:p>
      <w:pPr>
        <w:pStyle w:val="2"/>
      </w:pPr>
    </w:p>
    <w:sectPr>
      <w:headerReference r:id="rId14" w:type="default"/>
      <w:footerReference r:id="rId15"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40EA88F-C7C1-4E68-B049-0C566F5A45B1}"/>
  </w:font>
  <w:font w:name="黑体">
    <w:panose1 w:val="02010609060101010101"/>
    <w:charset w:val="86"/>
    <w:family w:val="auto"/>
    <w:pitch w:val="default"/>
    <w:sig w:usb0="800002BF" w:usb1="38CF7CFA" w:usb2="00000016" w:usb3="00000000" w:csb0="00040001" w:csb1="00000000"/>
    <w:embedRegular r:id="rId2" w:fontKey="{7D5494BB-8144-4F99-AE5D-84DB8E3828D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3A257E4-41F2-4877-B04A-A1179ECE9786}"/>
  </w:font>
  <w:font w:name="微软雅黑">
    <w:panose1 w:val="020B0503020204020204"/>
    <w:charset w:val="86"/>
    <w:family w:val="swiss"/>
    <w:pitch w:val="default"/>
    <w:sig w:usb0="80000287" w:usb1="2ACF3C50" w:usb2="00000016" w:usb3="00000000" w:csb0="0004001F" w:csb1="00000000"/>
  </w:font>
  <w:font w:name="Fang Song">
    <w:altName w:val="宋体"/>
    <w:panose1 w:val="00000000000000000000"/>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78EB5A69-3D44-4F6A-8B5C-771B4D29ADCB}"/>
  </w:font>
  <w:font w:name="仿宋">
    <w:panose1 w:val="02010609060101010101"/>
    <w:charset w:val="86"/>
    <w:family w:val="modern"/>
    <w:pitch w:val="default"/>
    <w:sig w:usb0="800002BF" w:usb1="38CF7CFA" w:usb2="00000016" w:usb3="00000000" w:csb0="00040001" w:csb1="00000000"/>
    <w:embedRegular r:id="rId5" w:fontKey="{9BC6B3C8-EF58-460D-8576-203D1EDBFA04}"/>
  </w:font>
  <w:font w:name="华文楷体">
    <w:panose1 w:val="02010600040101010101"/>
    <w:charset w:val="86"/>
    <w:family w:val="auto"/>
    <w:pitch w:val="default"/>
    <w:sig w:usb0="00000287" w:usb1="080F0000" w:usb2="00000000" w:usb3="00000000" w:csb0="0004009F" w:csb1="DFD70000"/>
    <w:embedRegular r:id="rId6" w:fontKey="{50DC0616-DE26-4CF3-8575-EE71717F7301}"/>
  </w:font>
  <w:font w:name="方正小标宋简体">
    <w:panose1 w:val="03000509000000000000"/>
    <w:charset w:val="86"/>
    <w:family w:val="auto"/>
    <w:pitch w:val="default"/>
    <w:sig w:usb0="00000001" w:usb1="080E0000" w:usb2="00000000" w:usb3="00000000" w:csb0="00040000" w:csb1="00000000"/>
    <w:embedRegular r:id="rId7" w:fontKey="{02F66C70-8BDC-4EC1-AB7B-9970CC2586E3}"/>
  </w:font>
  <w:font w:name="楷体">
    <w:panose1 w:val="02010609060101010101"/>
    <w:charset w:val="86"/>
    <w:family w:val="auto"/>
    <w:pitch w:val="default"/>
    <w:sig w:usb0="800002BF" w:usb1="38CF7CFA" w:usb2="00000016" w:usb3="00000000" w:csb0="00040001" w:csb1="00000000"/>
    <w:embedRegular r:id="rId8" w:fontKey="{79DEE538-5121-4E11-8BF8-B1951FC6CF4F}"/>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embedRegular r:id="rId9" w:fontKey="{16606AEA-146B-439D-95A1-10BD9470CB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w:t>
                    </w:r>
                    <w:r>
                      <w:fldChar w:fldCharType="end"/>
                    </w:r>
                  </w:p>
                </w:txbxContent>
              </v:textbox>
            </v:shape>
          </w:pict>
        </mc:Fallback>
      </mc:AlternateContent>
    </w:r>
  </w:p>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w:t>
                    </w:r>
                    <w:r>
                      <w:fldChar w:fldCharType="end"/>
                    </w:r>
                  </w:p>
                </w:txbxContent>
              </v:textbox>
            </v:shape>
          </w:pict>
        </mc:Fallback>
      </mc:AlternateContent>
    </w:r>
  </w:p>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ckThinSmallGap" w:color="auto" w:sz="12" w:space="1"/>
      </w:pBdr>
      <w:jc w:val="left"/>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安徽交控建设工程集团有限公司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ckThinSmallGap" w:color="auto" w:sz="12" w:space="1"/>
      </w:pBdr>
      <w:tabs>
        <w:tab w:val="left" w:pos="843"/>
        <w:tab w:val="clear" w:pos="4153"/>
      </w:tabs>
      <w:jc w:val="left"/>
      <w:rPr>
        <w:rFonts w:hint="eastAsia" w:ascii="楷体" w:hAnsi="楷体" w:eastAsia="楷体" w:cs="楷体"/>
        <w:sz w:val="21"/>
        <w:szCs w:val="21"/>
        <w:lang w:val="en-US" w:eastAsia="zh-CN"/>
      </w:rPr>
    </w:pPr>
    <w:r>
      <w:rPr>
        <w:sz w:val="21"/>
      </w:rPr>
      <w:pict>
        <v:shape id="PowerPlusWaterMarkObject154064" o:spid="_x0000_s4098" o:spt="136" type="#_x0000_t136" style="position:absolute;left:0pt;height:62.3pt;width:524.9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安徽省经工物资有限公司" style="font-family:微软雅黑;font-size:36pt;v-same-letter-heights:f;v-text-align:center;"/>
        </v:shape>
      </w:pict>
    </w:r>
    <w:r>
      <w:rPr>
        <w:rFonts w:hint="eastAsia" w:ascii="楷体" w:hAnsi="楷体" w:eastAsia="楷体" w:cs="楷体"/>
        <w:sz w:val="21"/>
        <w:szCs w:val="21"/>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ckThinSmallGap" w:color="auto" w:sz="12" w:space="1"/>
      </w:pBdr>
      <w:jc w:val="left"/>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安徽交控建设工程集团有限公司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59AA92"/>
    <w:multiLevelType w:val="multilevel"/>
    <w:tmpl w:val="9C59AA92"/>
    <w:lvl w:ilvl="0" w:tentative="0">
      <w:start w:val="1"/>
      <w:numFmt w:val="chineseCounting"/>
      <w:pStyle w:val="3"/>
      <w:suff w:val="nothing"/>
      <w:lvlText w:val="第%1章 "/>
      <w:lvlJc w:val="left"/>
      <w:pPr>
        <w:tabs>
          <w:tab w:val="left" w:pos="0"/>
        </w:tabs>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AF0C7C81"/>
    <w:multiLevelType w:val="singleLevel"/>
    <w:tmpl w:val="AF0C7C81"/>
    <w:lvl w:ilvl="0" w:tentative="0">
      <w:start w:val="1"/>
      <w:numFmt w:val="decimal"/>
      <w:suff w:val="nothing"/>
      <w:lvlText w:val="（%1）"/>
      <w:lvlJc w:val="left"/>
    </w:lvl>
  </w:abstractNum>
  <w:abstractNum w:abstractNumId="2">
    <w:nsid w:val="2E95D47B"/>
    <w:multiLevelType w:val="singleLevel"/>
    <w:tmpl w:val="2E95D47B"/>
    <w:lvl w:ilvl="0" w:tentative="0">
      <w:start w:val="1"/>
      <w:numFmt w:val="decimal"/>
      <w:pStyle w:val="4"/>
      <w:suff w:val="nothing"/>
      <w:lvlText w:val="%1．"/>
      <w:lvlJc w:val="left"/>
      <w:pPr>
        <w:ind w:left="17" w:firstLine="400"/>
      </w:pPr>
      <w:rPr>
        <w:rFonts w:hint="default"/>
      </w:rPr>
    </w:lvl>
  </w:abstractNum>
  <w:abstractNum w:abstractNumId="3">
    <w:nsid w:val="61C7D68E"/>
    <w:multiLevelType w:val="singleLevel"/>
    <w:tmpl w:val="61C7D68E"/>
    <w:lvl w:ilvl="0" w:tentative="0">
      <w:start w:val="1"/>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ZiNDFlYjFmMjQ0NTA5NzRlMjAxMjJjOTAwY2Y1YzkifQ=="/>
  </w:docVars>
  <w:rsids>
    <w:rsidRoot w:val="6F4D02A4"/>
    <w:rsid w:val="0022317B"/>
    <w:rsid w:val="00302DB5"/>
    <w:rsid w:val="00302F3A"/>
    <w:rsid w:val="005607D6"/>
    <w:rsid w:val="00653222"/>
    <w:rsid w:val="00691F7C"/>
    <w:rsid w:val="00724BD4"/>
    <w:rsid w:val="007C6E94"/>
    <w:rsid w:val="00E8570D"/>
    <w:rsid w:val="014A4AD7"/>
    <w:rsid w:val="01662343"/>
    <w:rsid w:val="023E3C6A"/>
    <w:rsid w:val="028D5673"/>
    <w:rsid w:val="02D346A3"/>
    <w:rsid w:val="033A1DE9"/>
    <w:rsid w:val="038863C7"/>
    <w:rsid w:val="03A9557F"/>
    <w:rsid w:val="04701D1E"/>
    <w:rsid w:val="04D921EE"/>
    <w:rsid w:val="04E034BC"/>
    <w:rsid w:val="05F94BA8"/>
    <w:rsid w:val="06341F34"/>
    <w:rsid w:val="068727A0"/>
    <w:rsid w:val="07063EDC"/>
    <w:rsid w:val="073A5458"/>
    <w:rsid w:val="07584505"/>
    <w:rsid w:val="076958CF"/>
    <w:rsid w:val="07CE4C09"/>
    <w:rsid w:val="09210464"/>
    <w:rsid w:val="09CB3139"/>
    <w:rsid w:val="09D50CE7"/>
    <w:rsid w:val="0A2E7496"/>
    <w:rsid w:val="0A466107"/>
    <w:rsid w:val="0A7005A2"/>
    <w:rsid w:val="0A941F2B"/>
    <w:rsid w:val="0BDD422F"/>
    <w:rsid w:val="0CAA4C53"/>
    <w:rsid w:val="0CB04615"/>
    <w:rsid w:val="0D190BED"/>
    <w:rsid w:val="0DBD0BDC"/>
    <w:rsid w:val="0DE02F17"/>
    <w:rsid w:val="0EB033E5"/>
    <w:rsid w:val="0EBA46A3"/>
    <w:rsid w:val="0EBB2DAD"/>
    <w:rsid w:val="0F6F4854"/>
    <w:rsid w:val="0F9F0794"/>
    <w:rsid w:val="0FBE1FCA"/>
    <w:rsid w:val="103E486A"/>
    <w:rsid w:val="106D5B52"/>
    <w:rsid w:val="1090350E"/>
    <w:rsid w:val="10944070"/>
    <w:rsid w:val="109B03CC"/>
    <w:rsid w:val="10A6372F"/>
    <w:rsid w:val="10DA535D"/>
    <w:rsid w:val="110D2AFF"/>
    <w:rsid w:val="11DF30C9"/>
    <w:rsid w:val="129325F3"/>
    <w:rsid w:val="12CA1FCB"/>
    <w:rsid w:val="12FA3B2F"/>
    <w:rsid w:val="13E11194"/>
    <w:rsid w:val="140548F4"/>
    <w:rsid w:val="14464682"/>
    <w:rsid w:val="144A391D"/>
    <w:rsid w:val="15133F2C"/>
    <w:rsid w:val="1611702A"/>
    <w:rsid w:val="163D1F3A"/>
    <w:rsid w:val="17716EB9"/>
    <w:rsid w:val="17FC3132"/>
    <w:rsid w:val="188C4113"/>
    <w:rsid w:val="19061192"/>
    <w:rsid w:val="191A46EE"/>
    <w:rsid w:val="194F7DBB"/>
    <w:rsid w:val="19647370"/>
    <w:rsid w:val="19DE1C05"/>
    <w:rsid w:val="1A3C6E09"/>
    <w:rsid w:val="1A657CD8"/>
    <w:rsid w:val="1AA97D25"/>
    <w:rsid w:val="1B313D78"/>
    <w:rsid w:val="1B87260E"/>
    <w:rsid w:val="1BD45299"/>
    <w:rsid w:val="1BDC7061"/>
    <w:rsid w:val="1BF47A51"/>
    <w:rsid w:val="1C0C5403"/>
    <w:rsid w:val="1C511068"/>
    <w:rsid w:val="1C7A46C5"/>
    <w:rsid w:val="1CD07137"/>
    <w:rsid w:val="1CF12CD2"/>
    <w:rsid w:val="1D3772E3"/>
    <w:rsid w:val="1D3F5364"/>
    <w:rsid w:val="1D9664E5"/>
    <w:rsid w:val="1D9C6C71"/>
    <w:rsid w:val="1DD02C25"/>
    <w:rsid w:val="1E7E7378"/>
    <w:rsid w:val="1EC93137"/>
    <w:rsid w:val="1F026649"/>
    <w:rsid w:val="1F93095F"/>
    <w:rsid w:val="1FB449F5"/>
    <w:rsid w:val="1FC01B05"/>
    <w:rsid w:val="1FCE5A3B"/>
    <w:rsid w:val="20220D88"/>
    <w:rsid w:val="202D724A"/>
    <w:rsid w:val="20C3052D"/>
    <w:rsid w:val="20CE712B"/>
    <w:rsid w:val="20E701EC"/>
    <w:rsid w:val="21613B53"/>
    <w:rsid w:val="2211172D"/>
    <w:rsid w:val="22806203"/>
    <w:rsid w:val="22A243CB"/>
    <w:rsid w:val="23552482"/>
    <w:rsid w:val="23610B8C"/>
    <w:rsid w:val="241D716E"/>
    <w:rsid w:val="244A6AC8"/>
    <w:rsid w:val="248751A0"/>
    <w:rsid w:val="24A7216D"/>
    <w:rsid w:val="259B3664"/>
    <w:rsid w:val="2613091A"/>
    <w:rsid w:val="265909F3"/>
    <w:rsid w:val="27621A0B"/>
    <w:rsid w:val="279E7B84"/>
    <w:rsid w:val="27B103DE"/>
    <w:rsid w:val="27DE38B4"/>
    <w:rsid w:val="285445B2"/>
    <w:rsid w:val="28D24D9C"/>
    <w:rsid w:val="28FE7045"/>
    <w:rsid w:val="2941798C"/>
    <w:rsid w:val="294C5129"/>
    <w:rsid w:val="295C70D0"/>
    <w:rsid w:val="29661399"/>
    <w:rsid w:val="29AA0009"/>
    <w:rsid w:val="2A8F70B0"/>
    <w:rsid w:val="2ABD4D9D"/>
    <w:rsid w:val="2AE43776"/>
    <w:rsid w:val="2B1D5459"/>
    <w:rsid w:val="2B274C40"/>
    <w:rsid w:val="2CC548F1"/>
    <w:rsid w:val="2CE63732"/>
    <w:rsid w:val="2D141CF6"/>
    <w:rsid w:val="2D984126"/>
    <w:rsid w:val="2E0A4375"/>
    <w:rsid w:val="2E2A3B5A"/>
    <w:rsid w:val="2E572B9D"/>
    <w:rsid w:val="2E6740D2"/>
    <w:rsid w:val="2ED8288A"/>
    <w:rsid w:val="300246FB"/>
    <w:rsid w:val="30292C62"/>
    <w:rsid w:val="30793AE8"/>
    <w:rsid w:val="319B3695"/>
    <w:rsid w:val="322D5429"/>
    <w:rsid w:val="32332253"/>
    <w:rsid w:val="324271A8"/>
    <w:rsid w:val="333F226C"/>
    <w:rsid w:val="33A12A69"/>
    <w:rsid w:val="33C26030"/>
    <w:rsid w:val="35201A23"/>
    <w:rsid w:val="35843E04"/>
    <w:rsid w:val="361938E0"/>
    <w:rsid w:val="36C144C3"/>
    <w:rsid w:val="38894DE3"/>
    <w:rsid w:val="388C7CC2"/>
    <w:rsid w:val="38B92676"/>
    <w:rsid w:val="39D25EB8"/>
    <w:rsid w:val="39F257E0"/>
    <w:rsid w:val="3AAD339E"/>
    <w:rsid w:val="3B096510"/>
    <w:rsid w:val="3B414529"/>
    <w:rsid w:val="3B47240E"/>
    <w:rsid w:val="3B7C2F21"/>
    <w:rsid w:val="3B8A41D3"/>
    <w:rsid w:val="3BC00DC4"/>
    <w:rsid w:val="3C004FC4"/>
    <w:rsid w:val="3C651D50"/>
    <w:rsid w:val="3CF7310E"/>
    <w:rsid w:val="3D075683"/>
    <w:rsid w:val="3DF36DEA"/>
    <w:rsid w:val="3E103B9E"/>
    <w:rsid w:val="3E2829E9"/>
    <w:rsid w:val="3E5113D8"/>
    <w:rsid w:val="3FA532F5"/>
    <w:rsid w:val="3FB452E6"/>
    <w:rsid w:val="3FF744E4"/>
    <w:rsid w:val="403D54CD"/>
    <w:rsid w:val="408028ED"/>
    <w:rsid w:val="41212AAF"/>
    <w:rsid w:val="4178455B"/>
    <w:rsid w:val="41B873F1"/>
    <w:rsid w:val="41BB6E00"/>
    <w:rsid w:val="41CE6B33"/>
    <w:rsid w:val="41CF3C5E"/>
    <w:rsid w:val="41FB71FC"/>
    <w:rsid w:val="4269619D"/>
    <w:rsid w:val="426A68F1"/>
    <w:rsid w:val="426B29F2"/>
    <w:rsid w:val="42ED38B0"/>
    <w:rsid w:val="44623B29"/>
    <w:rsid w:val="44CB7E92"/>
    <w:rsid w:val="44D53D34"/>
    <w:rsid w:val="44F47A82"/>
    <w:rsid w:val="45941E41"/>
    <w:rsid w:val="45E82159"/>
    <w:rsid w:val="460C19D8"/>
    <w:rsid w:val="46767799"/>
    <w:rsid w:val="475036EC"/>
    <w:rsid w:val="476304E5"/>
    <w:rsid w:val="48407E8B"/>
    <w:rsid w:val="48594C7C"/>
    <w:rsid w:val="48941C0A"/>
    <w:rsid w:val="48F03833"/>
    <w:rsid w:val="4A304D72"/>
    <w:rsid w:val="4A3412FF"/>
    <w:rsid w:val="4AD72CCC"/>
    <w:rsid w:val="4ADA08DD"/>
    <w:rsid w:val="4B302190"/>
    <w:rsid w:val="4B646BB7"/>
    <w:rsid w:val="4BD8030B"/>
    <w:rsid w:val="4C0D05F0"/>
    <w:rsid w:val="4C312198"/>
    <w:rsid w:val="4C6063F0"/>
    <w:rsid w:val="4D0D73CA"/>
    <w:rsid w:val="4D237C5B"/>
    <w:rsid w:val="4D396704"/>
    <w:rsid w:val="4DAE1114"/>
    <w:rsid w:val="4DB33731"/>
    <w:rsid w:val="4DB34E9F"/>
    <w:rsid w:val="4EA87052"/>
    <w:rsid w:val="4F0478A8"/>
    <w:rsid w:val="4F570614"/>
    <w:rsid w:val="5051384E"/>
    <w:rsid w:val="50932863"/>
    <w:rsid w:val="50C64757"/>
    <w:rsid w:val="50D65570"/>
    <w:rsid w:val="51801680"/>
    <w:rsid w:val="51C10E67"/>
    <w:rsid w:val="528B597C"/>
    <w:rsid w:val="53434540"/>
    <w:rsid w:val="55945546"/>
    <w:rsid w:val="55CE5FAF"/>
    <w:rsid w:val="568D4A8B"/>
    <w:rsid w:val="5787376C"/>
    <w:rsid w:val="57AC6A99"/>
    <w:rsid w:val="58340631"/>
    <w:rsid w:val="588621CE"/>
    <w:rsid w:val="58AC03AC"/>
    <w:rsid w:val="58B3037A"/>
    <w:rsid w:val="598F3C15"/>
    <w:rsid w:val="5A1256BA"/>
    <w:rsid w:val="5A3A0D9E"/>
    <w:rsid w:val="5AB51CCA"/>
    <w:rsid w:val="5AB57322"/>
    <w:rsid w:val="5B0A0784"/>
    <w:rsid w:val="5BC0596D"/>
    <w:rsid w:val="5BE5635E"/>
    <w:rsid w:val="5BF03F10"/>
    <w:rsid w:val="5C03587B"/>
    <w:rsid w:val="5C4805D9"/>
    <w:rsid w:val="5C924AC5"/>
    <w:rsid w:val="5DA53F1B"/>
    <w:rsid w:val="5DA763B0"/>
    <w:rsid w:val="5DC63FF9"/>
    <w:rsid w:val="5FBE43F0"/>
    <w:rsid w:val="5FC627A0"/>
    <w:rsid w:val="5FCC0F8F"/>
    <w:rsid w:val="5FD076A0"/>
    <w:rsid w:val="6028345A"/>
    <w:rsid w:val="60CC0666"/>
    <w:rsid w:val="6157313D"/>
    <w:rsid w:val="61DA4AD9"/>
    <w:rsid w:val="629D4803"/>
    <w:rsid w:val="62AE498D"/>
    <w:rsid w:val="63167544"/>
    <w:rsid w:val="63B44CB8"/>
    <w:rsid w:val="63B47756"/>
    <w:rsid w:val="63D57455"/>
    <w:rsid w:val="63F04ADA"/>
    <w:rsid w:val="63FF44D2"/>
    <w:rsid w:val="644B5969"/>
    <w:rsid w:val="64A55079"/>
    <w:rsid w:val="64AB0CD1"/>
    <w:rsid w:val="64D84E1A"/>
    <w:rsid w:val="65675ED4"/>
    <w:rsid w:val="66847731"/>
    <w:rsid w:val="670E33AA"/>
    <w:rsid w:val="676E5CC7"/>
    <w:rsid w:val="67E14BAB"/>
    <w:rsid w:val="67EE0AE5"/>
    <w:rsid w:val="67F71E56"/>
    <w:rsid w:val="684C44B3"/>
    <w:rsid w:val="68880F3A"/>
    <w:rsid w:val="68B57E21"/>
    <w:rsid w:val="690F1726"/>
    <w:rsid w:val="69965CAB"/>
    <w:rsid w:val="69AC62CC"/>
    <w:rsid w:val="6A2D5CB0"/>
    <w:rsid w:val="6A903B76"/>
    <w:rsid w:val="6AF83B5E"/>
    <w:rsid w:val="6B651B9E"/>
    <w:rsid w:val="6B833A0E"/>
    <w:rsid w:val="6BB90159"/>
    <w:rsid w:val="6C031C78"/>
    <w:rsid w:val="6C111246"/>
    <w:rsid w:val="6C124248"/>
    <w:rsid w:val="6C3033B9"/>
    <w:rsid w:val="6C5B268C"/>
    <w:rsid w:val="6C6B059F"/>
    <w:rsid w:val="6CA00B62"/>
    <w:rsid w:val="6CFE27E3"/>
    <w:rsid w:val="6D274D94"/>
    <w:rsid w:val="6D955447"/>
    <w:rsid w:val="6DD01AB0"/>
    <w:rsid w:val="6DEB139F"/>
    <w:rsid w:val="6E596222"/>
    <w:rsid w:val="6E8B3FD1"/>
    <w:rsid w:val="6E9D5013"/>
    <w:rsid w:val="6EE437CE"/>
    <w:rsid w:val="6F4D02A4"/>
    <w:rsid w:val="6FDB7D0C"/>
    <w:rsid w:val="706B3710"/>
    <w:rsid w:val="70784F6A"/>
    <w:rsid w:val="708C3E73"/>
    <w:rsid w:val="70B2470E"/>
    <w:rsid w:val="71943263"/>
    <w:rsid w:val="71B80224"/>
    <w:rsid w:val="720B21A0"/>
    <w:rsid w:val="725D01F5"/>
    <w:rsid w:val="72775B5D"/>
    <w:rsid w:val="72E163D5"/>
    <w:rsid w:val="730651BF"/>
    <w:rsid w:val="73DB0AB8"/>
    <w:rsid w:val="751540E3"/>
    <w:rsid w:val="757762DF"/>
    <w:rsid w:val="76085468"/>
    <w:rsid w:val="761838D9"/>
    <w:rsid w:val="764861AD"/>
    <w:rsid w:val="76A8626F"/>
    <w:rsid w:val="76C43A85"/>
    <w:rsid w:val="77154C42"/>
    <w:rsid w:val="772B58B2"/>
    <w:rsid w:val="77822AD2"/>
    <w:rsid w:val="779C364E"/>
    <w:rsid w:val="7846297D"/>
    <w:rsid w:val="78711A06"/>
    <w:rsid w:val="788D434B"/>
    <w:rsid w:val="79232FCD"/>
    <w:rsid w:val="79487052"/>
    <w:rsid w:val="79D41C26"/>
    <w:rsid w:val="79E06FD9"/>
    <w:rsid w:val="7A202CBC"/>
    <w:rsid w:val="7A2B3BCE"/>
    <w:rsid w:val="7A666C01"/>
    <w:rsid w:val="7A895E56"/>
    <w:rsid w:val="7AC3206E"/>
    <w:rsid w:val="7AFF6ACD"/>
    <w:rsid w:val="7B152AB2"/>
    <w:rsid w:val="7B436E21"/>
    <w:rsid w:val="7B471652"/>
    <w:rsid w:val="7C1D7794"/>
    <w:rsid w:val="7CAA6238"/>
    <w:rsid w:val="7D751DAE"/>
    <w:rsid w:val="7DA02855"/>
    <w:rsid w:val="7DC73E5B"/>
    <w:rsid w:val="7DC73F51"/>
    <w:rsid w:val="7DFC3B04"/>
    <w:rsid w:val="7E134C71"/>
    <w:rsid w:val="7EA50565"/>
    <w:rsid w:val="7EFF5E79"/>
    <w:rsid w:val="7F210F90"/>
    <w:rsid w:val="7F2760C3"/>
    <w:rsid w:val="7F6D6584"/>
    <w:rsid w:val="7FC9482A"/>
    <w:rsid w:val="7FF60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qFormat="1"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keepLines/>
      <w:numPr>
        <w:ilvl w:val="0"/>
        <w:numId w:val="1"/>
      </w:numPr>
      <w:spacing w:beforeLines="100" w:afterLines="100" w:line="360" w:lineRule="auto"/>
      <w:ind w:firstLine="0"/>
      <w:jc w:val="center"/>
      <w:outlineLvl w:val="0"/>
    </w:pPr>
    <w:rPr>
      <w:rFonts w:eastAsia="微软雅黑"/>
      <w:b/>
      <w:bCs/>
      <w:kern w:val="44"/>
      <w:sz w:val="36"/>
      <w:szCs w:val="44"/>
    </w:rPr>
  </w:style>
  <w:style w:type="paragraph" w:styleId="4">
    <w:name w:val="heading 2"/>
    <w:basedOn w:val="1"/>
    <w:next w:val="1"/>
    <w:autoRedefine/>
    <w:qFormat/>
    <w:uiPriority w:val="0"/>
    <w:pPr>
      <w:keepNext/>
      <w:keepLines/>
      <w:numPr>
        <w:ilvl w:val="0"/>
        <w:numId w:val="2"/>
      </w:numPr>
      <w:spacing w:line="360" w:lineRule="auto"/>
      <w:outlineLvl w:val="1"/>
    </w:pPr>
    <w:rPr>
      <w:rFonts w:ascii="Arial" w:hAnsi="Arial"/>
      <w:b/>
      <w:bCs/>
      <w:sz w:val="28"/>
      <w:szCs w:val="32"/>
    </w:rPr>
  </w:style>
  <w:style w:type="paragraph" w:styleId="2">
    <w:name w:val="heading 3"/>
    <w:basedOn w:val="1"/>
    <w:next w:val="1"/>
    <w:autoRedefine/>
    <w:qFormat/>
    <w:uiPriority w:val="0"/>
    <w:pPr>
      <w:keepNext/>
      <w:keepLines/>
      <w:spacing w:before="120" w:after="120" w:line="360" w:lineRule="auto"/>
      <w:jc w:val="left"/>
      <w:outlineLvl w:val="2"/>
    </w:pPr>
    <w:rPr>
      <w:rFonts w:ascii="黑体" w:hAnsi="黑体" w:eastAsia="黑体"/>
      <w:bCs/>
      <w:sz w:val="24"/>
    </w:rPr>
  </w:style>
  <w:style w:type="paragraph" w:styleId="5">
    <w:name w:val="heading 4"/>
    <w:basedOn w:val="1"/>
    <w:next w:val="1"/>
    <w:autoRedefine/>
    <w:qFormat/>
    <w:uiPriority w:val="0"/>
    <w:pPr>
      <w:keepNext/>
      <w:keepLines/>
      <w:spacing w:before="120" w:after="120" w:line="360" w:lineRule="auto"/>
      <w:ind w:firstLine="420" w:firstLineChars="200"/>
      <w:outlineLvl w:val="3"/>
    </w:pPr>
    <w:rPr>
      <w:rFonts w:ascii="Arial" w:hAnsi="Arial" w:eastAsia="黑体"/>
      <w:bCs/>
      <w:szCs w:val="28"/>
    </w:rPr>
  </w:style>
  <w:style w:type="character" w:default="1" w:styleId="23">
    <w:name w:val="Default Paragraph Font"/>
    <w:autoRedefine/>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autoRedefine/>
    <w:qFormat/>
    <w:uiPriority w:val="0"/>
    <w:pPr>
      <w:jc w:val="left"/>
    </w:pPr>
    <w:rPr>
      <w:rFonts w:eastAsia="Calibri"/>
      <w:kern w:val="0"/>
      <w:sz w:val="22"/>
      <w:lang w:eastAsia="en-US"/>
    </w:rPr>
  </w:style>
  <w:style w:type="paragraph" w:styleId="7">
    <w:name w:val="Body Text"/>
    <w:basedOn w:val="1"/>
    <w:next w:val="8"/>
    <w:autoRedefine/>
    <w:qFormat/>
    <w:uiPriority w:val="0"/>
    <w:pPr>
      <w:spacing w:after="120"/>
    </w:pPr>
  </w:style>
  <w:style w:type="paragraph" w:styleId="8">
    <w:name w:val="header"/>
    <w:basedOn w:val="1"/>
    <w:next w:val="9"/>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9">
    <w:name w:val="Quote"/>
    <w:basedOn w:val="1"/>
    <w:next w:val="1"/>
    <w:autoRedefine/>
    <w:unhideWhenUsed/>
    <w:qFormat/>
    <w:uiPriority w:val="99"/>
    <w:pPr>
      <w:ind w:left="864" w:right="864"/>
      <w:jc w:val="center"/>
    </w:pPr>
    <w:rPr>
      <w:rFonts w:ascii="Times New Roman" w:hAnsi="Times New Roman"/>
      <w:i/>
      <w:iCs/>
      <w:color w:val="404040"/>
      <w:szCs w:val="21"/>
    </w:rPr>
  </w:style>
  <w:style w:type="paragraph" w:styleId="10">
    <w:name w:val="Body Text Indent"/>
    <w:basedOn w:val="1"/>
    <w:next w:val="11"/>
    <w:link w:val="34"/>
    <w:autoRedefine/>
    <w:qFormat/>
    <w:uiPriority w:val="0"/>
    <w:pPr>
      <w:spacing w:after="120"/>
      <w:ind w:left="420" w:leftChars="200"/>
    </w:pPr>
  </w:style>
  <w:style w:type="paragraph" w:styleId="11">
    <w:name w:val="envelope return"/>
    <w:basedOn w:val="1"/>
    <w:autoRedefine/>
    <w:unhideWhenUsed/>
    <w:qFormat/>
    <w:uiPriority w:val="99"/>
    <w:pPr>
      <w:snapToGrid w:val="0"/>
      <w:ind w:firstLine="200"/>
    </w:pPr>
    <w:rPr>
      <w:rFonts w:ascii="Arial" w:hAnsi="Arial" w:cs="Arial"/>
      <w:szCs w:val="20"/>
    </w:rPr>
  </w:style>
  <w:style w:type="paragraph" w:styleId="12">
    <w:name w:val="Plain Text"/>
    <w:basedOn w:val="1"/>
    <w:link w:val="35"/>
    <w:autoRedefine/>
    <w:qFormat/>
    <w:uiPriority w:val="0"/>
    <w:rPr>
      <w:rFonts w:ascii="宋体" w:hAnsi="Courier New"/>
      <w:szCs w:val="20"/>
    </w:rPr>
  </w:style>
  <w:style w:type="paragraph" w:styleId="13">
    <w:name w:val="footer"/>
    <w:basedOn w:val="1"/>
    <w:autoRedefine/>
    <w:qFormat/>
    <w:uiPriority w:val="99"/>
    <w:pPr>
      <w:tabs>
        <w:tab w:val="center" w:pos="4153"/>
        <w:tab w:val="right" w:pos="8306"/>
      </w:tabs>
      <w:snapToGrid w:val="0"/>
      <w:jc w:val="left"/>
    </w:pPr>
    <w:rPr>
      <w:sz w:val="18"/>
      <w:szCs w:val="18"/>
    </w:rPr>
  </w:style>
  <w:style w:type="paragraph" w:styleId="14">
    <w:name w:val="toc 1"/>
    <w:basedOn w:val="1"/>
    <w:next w:val="1"/>
    <w:autoRedefine/>
    <w:qFormat/>
    <w:uiPriority w:val="0"/>
  </w:style>
  <w:style w:type="paragraph" w:styleId="15">
    <w:name w:val="List"/>
    <w:basedOn w:val="1"/>
    <w:next w:val="1"/>
    <w:autoRedefine/>
    <w:unhideWhenUsed/>
    <w:qFormat/>
    <w:uiPriority w:val="0"/>
    <w:pPr>
      <w:suppressAutoHyphens/>
    </w:pPr>
    <w:rPr>
      <w:rFonts w:hint="eastAsia"/>
      <w:kern w:val="1"/>
      <w:szCs w:val="21"/>
      <w:lang w:eastAsia="ar-SA"/>
    </w:rPr>
  </w:style>
  <w:style w:type="paragraph" w:styleId="16">
    <w:name w:val="footnote text"/>
    <w:basedOn w:val="1"/>
    <w:autoRedefine/>
    <w:unhideWhenUsed/>
    <w:qFormat/>
    <w:uiPriority w:val="0"/>
    <w:pPr>
      <w:snapToGrid w:val="0"/>
      <w:jc w:val="left"/>
    </w:pPr>
    <w:rPr>
      <w:sz w:val="18"/>
      <w:szCs w:val="18"/>
    </w:rPr>
  </w:style>
  <w:style w:type="paragraph" w:styleId="17">
    <w:name w:val="Normal (Web)"/>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styleId="18">
    <w:name w:val="Title"/>
    <w:basedOn w:val="1"/>
    <w:next w:val="1"/>
    <w:autoRedefine/>
    <w:qFormat/>
    <w:uiPriority w:val="0"/>
    <w:pPr>
      <w:tabs>
        <w:tab w:val="left" w:pos="450"/>
      </w:tabs>
      <w:ind w:left="450" w:hanging="450"/>
      <w:jc w:val="center"/>
    </w:pPr>
    <w:rPr>
      <w:rFonts w:ascii="黑体" w:eastAsia="黑体"/>
      <w:sz w:val="32"/>
      <w:szCs w:val="20"/>
    </w:rPr>
  </w:style>
  <w:style w:type="paragraph" w:styleId="19">
    <w:name w:val="Body Text First Indent"/>
    <w:basedOn w:val="7"/>
    <w:autoRedefine/>
    <w:qFormat/>
    <w:uiPriority w:val="99"/>
    <w:pPr>
      <w:ind w:firstLine="420" w:firstLineChars="100"/>
    </w:pPr>
  </w:style>
  <w:style w:type="paragraph" w:styleId="20">
    <w:name w:val="Body Text First Indent 2"/>
    <w:basedOn w:val="10"/>
    <w:next w:val="1"/>
    <w:autoRedefine/>
    <w:qFormat/>
    <w:uiPriority w:val="0"/>
    <w:pPr>
      <w:ind w:firstLine="420" w:firstLineChars="200"/>
    </w:pPr>
    <w:rPr>
      <w:rFonts w:ascii="Calibri" w:hAnsi="Calibri"/>
      <w:szCs w:val="22"/>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autoRedefine/>
    <w:qFormat/>
    <w:uiPriority w:val="0"/>
  </w:style>
  <w:style w:type="character" w:styleId="25">
    <w:name w:val="Hyperlink"/>
    <w:basedOn w:val="23"/>
    <w:autoRedefine/>
    <w:unhideWhenUsed/>
    <w:qFormat/>
    <w:uiPriority w:val="99"/>
    <w:rPr>
      <w:rFonts w:ascii="Times New Roman" w:hAnsi="Times New Roman" w:eastAsia="宋体" w:cs="Times New Roman"/>
      <w:color w:val="0000FF"/>
      <w:kern w:val="2"/>
      <w:sz w:val="21"/>
      <w:szCs w:val="24"/>
      <w:u w:val="single"/>
      <w:lang w:eastAsia="zh-CN"/>
    </w:rPr>
  </w:style>
  <w:style w:type="character" w:styleId="26">
    <w:name w:val="footnote reference"/>
    <w:autoRedefine/>
    <w:unhideWhenUsed/>
    <w:qFormat/>
    <w:uiPriority w:val="0"/>
    <w:rPr>
      <w:vertAlign w:val="superscript"/>
    </w:rPr>
  </w:style>
  <w:style w:type="paragraph" w:customStyle="1" w:styleId="27">
    <w:name w:val="引用1"/>
    <w:basedOn w:val="1"/>
    <w:next w:val="1"/>
    <w:autoRedefine/>
    <w:unhideWhenUsed/>
    <w:qFormat/>
    <w:uiPriority w:val="99"/>
    <w:pPr>
      <w:ind w:left="864" w:right="864"/>
      <w:jc w:val="center"/>
    </w:pPr>
    <w:rPr>
      <w:rFonts w:ascii="Times New Roman" w:hAnsi="Times New Roman"/>
      <w:i/>
      <w:iCs/>
      <w:color w:val="404040"/>
      <w:szCs w:val="21"/>
    </w:rPr>
  </w:style>
  <w:style w:type="paragraph" w:customStyle="1" w:styleId="28">
    <w:name w:val="Default"/>
    <w:autoRedefine/>
    <w:qFormat/>
    <w:uiPriority w:val="0"/>
    <w:pPr>
      <w:widowControl w:val="0"/>
      <w:autoSpaceDE w:val="0"/>
      <w:autoSpaceDN w:val="0"/>
    </w:pPr>
    <w:rPr>
      <w:rFonts w:hint="eastAsia" w:ascii="Fang Song" w:hAnsi="Fang Song" w:eastAsia="Fang Song" w:cs="Times New Roman"/>
      <w:color w:val="000000"/>
      <w:sz w:val="24"/>
      <w:lang w:val="en-US" w:eastAsia="zh-CN" w:bidi="ar-SA"/>
    </w:rPr>
  </w:style>
  <w:style w:type="paragraph" w:customStyle="1" w:styleId="29">
    <w:name w:val="WPSOffice手动目录 1"/>
    <w:autoRedefine/>
    <w:qFormat/>
    <w:uiPriority w:val="0"/>
    <w:rPr>
      <w:rFonts w:asciiTheme="minorHAnsi" w:hAnsiTheme="minorHAnsi" w:eastAsiaTheme="minorEastAsia" w:cstheme="minorBidi"/>
      <w:lang w:val="en-US" w:eastAsia="zh-CN" w:bidi="ar-SA"/>
    </w:rPr>
  </w:style>
  <w:style w:type="character" w:customStyle="1" w:styleId="30">
    <w:name w:val="font61"/>
    <w:basedOn w:val="23"/>
    <w:autoRedefine/>
    <w:qFormat/>
    <w:uiPriority w:val="0"/>
    <w:rPr>
      <w:rFonts w:hint="eastAsia" w:ascii="宋体" w:hAnsi="宋体" w:eastAsia="宋体" w:cs="宋体"/>
      <w:color w:val="000000"/>
      <w:sz w:val="20"/>
      <w:szCs w:val="20"/>
      <w:u w:val="none"/>
    </w:rPr>
  </w:style>
  <w:style w:type="character" w:customStyle="1" w:styleId="31">
    <w:name w:val="font141"/>
    <w:basedOn w:val="23"/>
    <w:autoRedefine/>
    <w:qFormat/>
    <w:uiPriority w:val="0"/>
    <w:rPr>
      <w:rFonts w:hint="eastAsia" w:ascii="宋体" w:hAnsi="宋体" w:eastAsia="宋体" w:cs="宋体"/>
      <w:color w:val="000000"/>
      <w:sz w:val="24"/>
      <w:szCs w:val="24"/>
      <w:u w:val="none"/>
      <w:vertAlign w:val="superscript"/>
    </w:rPr>
  </w:style>
  <w:style w:type="paragraph" w:customStyle="1" w:styleId="32">
    <w:name w:val="样式 标题 2 + Times New Roman 四号 非加粗 段前: 5 磅 段后: 0 磅 行距: 固定值 20..."/>
    <w:basedOn w:val="4"/>
    <w:autoRedefine/>
    <w:qFormat/>
    <w:uiPriority w:val="0"/>
    <w:pPr>
      <w:spacing w:before="100" w:line="400" w:lineRule="exact"/>
    </w:pPr>
    <w:rPr>
      <w:rFonts w:ascii="Times New Roman" w:hAnsi="Times New Roman" w:eastAsia="黑体" w:cs="宋体"/>
      <w:b w:val="0"/>
      <w:bCs w:val="0"/>
      <w:kern w:val="0"/>
      <w:szCs w:val="20"/>
    </w:rPr>
  </w:style>
  <w:style w:type="paragraph" w:customStyle="1" w:styleId="33">
    <w:name w:val="List Paragraph"/>
    <w:basedOn w:val="1"/>
    <w:autoRedefine/>
    <w:qFormat/>
    <w:uiPriority w:val="1"/>
    <w:pPr>
      <w:ind w:left="235" w:hanging="527"/>
    </w:pPr>
    <w:rPr>
      <w:rFonts w:ascii="宋体" w:hAnsi="宋体" w:eastAsia="宋体" w:cs="宋体"/>
      <w:lang w:val="zh-CN" w:eastAsia="zh-CN" w:bidi="zh-CN"/>
    </w:rPr>
  </w:style>
  <w:style w:type="character" w:customStyle="1" w:styleId="34">
    <w:name w:val="正文文本缩进 Char"/>
    <w:link w:val="10"/>
    <w:autoRedefine/>
    <w:qFormat/>
    <w:uiPriority w:val="0"/>
  </w:style>
  <w:style w:type="character" w:customStyle="1" w:styleId="35">
    <w:name w:val="纯文本 Char"/>
    <w:link w:val="12"/>
    <w:autoRedefine/>
    <w:qFormat/>
    <w:uiPriority w:val="0"/>
    <w:rPr>
      <w:rFonts w:ascii="宋体" w:hAnsi="Courier New"/>
      <w:szCs w:val="20"/>
    </w:rPr>
  </w:style>
  <w:style w:type="paragraph" w:customStyle="1" w:styleId="36">
    <w:name w:val="Table Paragraph"/>
    <w:basedOn w:val="1"/>
    <w:autoRedefine/>
    <w:qFormat/>
    <w:uiPriority w:val="1"/>
    <w:rPr>
      <w:rFonts w:ascii="宋体" w:hAnsi="宋体" w:eastAsia="宋体" w:cs="宋体"/>
    </w:rPr>
  </w:style>
  <w:style w:type="table" w:customStyle="1" w:styleId="37">
    <w:name w:val="Table Normal"/>
    <w:autoRedefine/>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38">
    <w:name w:val="font11"/>
    <w:basedOn w:val="23"/>
    <w:autoRedefine/>
    <w:qFormat/>
    <w:uiPriority w:val="0"/>
    <w:rPr>
      <w:rFonts w:hint="eastAsia" w:ascii="仿宋_GB2312" w:eastAsia="仿宋_GB2312" w:cs="仿宋_GB2312"/>
      <w:color w:val="000000"/>
      <w:sz w:val="24"/>
      <w:szCs w:val="24"/>
      <w:u w:val="none"/>
    </w:rPr>
  </w:style>
  <w:style w:type="paragraph" w:customStyle="1" w:styleId="39">
    <w:name w:val="Table Text"/>
    <w:autoRedefine/>
    <w:semiHidden/>
    <w:qFormat/>
    <w:uiPriority w:val="0"/>
    <w:pPr>
      <w:widowControl w:val="0"/>
      <w:jc w:val="both"/>
    </w:pPr>
    <w:rPr>
      <w:rFonts w:ascii="宋体" w:hAnsi="宋体" w:eastAsia="宋体" w:cs="宋体"/>
      <w:kern w:val="2"/>
      <w:sz w:val="22"/>
      <w:szCs w:val="22"/>
      <w:lang w:val="en-US" w:eastAsia="en-US" w:bidi="ar-SA"/>
    </w:rPr>
  </w:style>
  <w:style w:type="character" w:customStyle="1" w:styleId="40">
    <w:name w:val="font01"/>
    <w:basedOn w:val="23"/>
    <w:autoRedefine/>
    <w:qFormat/>
    <w:uiPriority w:val="0"/>
    <w:rPr>
      <w:rFonts w:hint="default" w:ascii="Arial" w:hAnsi="Arial" w:cs="Arial"/>
      <w:color w:val="000000"/>
      <w:sz w:val="20"/>
      <w:szCs w:val="20"/>
      <w:u w:val="none"/>
    </w:rPr>
  </w:style>
  <w:style w:type="character" w:customStyle="1" w:styleId="41">
    <w:name w:val="font31"/>
    <w:basedOn w:val="23"/>
    <w:autoRedefine/>
    <w:qFormat/>
    <w:uiPriority w:val="0"/>
    <w:rPr>
      <w:rFonts w:hint="eastAsia" w:ascii="宋体" w:hAnsi="宋体" w:eastAsia="宋体" w:cs="宋体"/>
      <w:color w:val="000000"/>
      <w:sz w:val="20"/>
      <w:szCs w:val="20"/>
      <w:u w:val="none"/>
    </w:rPr>
  </w:style>
  <w:style w:type="character" w:customStyle="1" w:styleId="42">
    <w:name w:val="font21"/>
    <w:basedOn w:val="23"/>
    <w:autoRedefine/>
    <w:qFormat/>
    <w:uiPriority w:val="0"/>
    <w:rPr>
      <w:rFonts w:hint="default" w:ascii="Arial" w:hAnsi="Arial" w:cs="Arial"/>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56</Pages>
  <Words>18975</Words>
  <Characters>20663</Characters>
  <Lines>180</Lines>
  <Paragraphs>50</Paragraphs>
  <TotalTime>31</TotalTime>
  <ScaleCrop>false</ScaleCrop>
  <LinksUpToDate>false</LinksUpToDate>
  <CharactersWithSpaces>27985</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2022-05-24T02:11:00Z</dcterms:created>
  <dc:creator>许鹏</dc:creator>
  <cp:lastModifiedBy>夜丶长枫</cp:lastModifiedBy>
  <cp:lastPrinted>2024-03-15T07:26:00Z</cp:lastPrinted>
  <dcterms:modified xsi:type="dcterms:W3CDTF">2024-03-21T12:57:43Z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4D7FCAAE842F483C8554783BF2FDD3DC_13</vt:lpwstr>
  </property>
</Properties>
</file>