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宋体" w:cs="Times New Roman"/>
          <w:sz w:val="32"/>
          <w:szCs w:val="32"/>
          <w:u w:val="none"/>
          <w:lang w:val="en-US" w:eastAsia="zh-CN"/>
        </w:rPr>
      </w:pPr>
      <w:r>
        <w:rPr>
          <w:rFonts w:hint="eastAsia" w:ascii="宋体" w:hAnsi="宋体"/>
          <w:b/>
          <w:bCs/>
          <w:sz w:val="48"/>
          <w:szCs w:val="48"/>
          <w:highlight w:val="none"/>
          <w:u w:val="none"/>
          <w:lang w:eastAsia="zh-CN"/>
        </w:rPr>
        <w:t>2023年合安中心新开通收费站点厨房设备采购及安装项目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13"/>
        <w:rPr>
          <w:rFonts w:ascii="Times New Roman" w:hAnsi="Times New Roman" w:cs="Times New Roman"/>
          <w:szCs w:val="21"/>
        </w:rPr>
      </w:pPr>
    </w:p>
    <w:p>
      <w:pPr>
        <w:jc w:val="center"/>
        <w:rPr>
          <w:rFonts w:hint="eastAsia" w:ascii="Times New Roman" w:hAnsi="Times New Roman" w:eastAsia="黑体" w:cs="Times New Roman"/>
          <w:sz w:val="72"/>
          <w:szCs w:val="72"/>
          <w:lang w:eastAsia="zh-CN"/>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ascii="Times New Roman" w:hAnsi="Times New Roman" w:eastAsia="黑体" w:cs="Times New Roman"/>
          <w:sz w:val="32"/>
          <w:szCs w:val="32"/>
          <w:u w:val="single"/>
        </w:rPr>
      </w:pPr>
      <w:r>
        <w:rPr>
          <w:rFonts w:ascii="Times New Roman" w:hAnsi="Times New Roman" w:eastAsia="黑体" w:cs="Times New Roman"/>
          <w:sz w:val="32"/>
          <w:szCs w:val="32"/>
        </w:rPr>
        <w:t>采</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购</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人：</w:t>
      </w:r>
      <w:r>
        <w:rPr>
          <w:rFonts w:ascii="Times New Roman" w:hAnsi="Times New Roman" w:eastAsia="黑体" w:cs="Times New Roman"/>
          <w:sz w:val="32"/>
          <w:szCs w:val="32"/>
          <w:u w:val="single"/>
        </w:rPr>
        <w:t xml:space="preserve"> 安徽</w:t>
      </w:r>
      <w:r>
        <w:rPr>
          <w:rFonts w:hint="eastAsia" w:ascii="Times New Roman" w:hAnsi="Times New Roman" w:eastAsia="黑体" w:cs="Times New Roman"/>
          <w:sz w:val="32"/>
          <w:szCs w:val="32"/>
          <w:u w:val="single"/>
          <w:lang w:val="en-US" w:eastAsia="zh-CN"/>
        </w:rPr>
        <w:t>省经工物资</w:t>
      </w:r>
      <w:r>
        <w:rPr>
          <w:rFonts w:ascii="Times New Roman" w:hAnsi="Times New Roman" w:eastAsia="黑体" w:cs="Times New Roman"/>
          <w:sz w:val="32"/>
          <w:szCs w:val="32"/>
          <w:u w:val="single"/>
        </w:rPr>
        <w:t>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ascii="Times New Roman" w:hAnsi="Times New Roman" w:cs="Times New Roman"/>
          <w:sz w:val="32"/>
          <w:szCs w:val="32"/>
        </w:rPr>
      </w:pPr>
      <w:r>
        <w:rPr>
          <w:rFonts w:hint="eastAsia" w:ascii="黑体" w:hAnsi="黑体" w:eastAsia="黑体" w:cs="黑体"/>
          <w:sz w:val="32"/>
          <w:szCs w:val="32"/>
          <w:lang w:val="en-US" w:eastAsia="zh-CN"/>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2023  </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11 </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月</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rPr>
      </w:pPr>
    </w:p>
    <w:p>
      <w:pPr>
        <w:snapToGrid w:val="0"/>
        <w:ind w:firstLine="1920" w:firstLineChars="600"/>
        <w:rPr>
          <w:rFonts w:ascii="Times New Roman" w:hAnsi="Times New Roman" w:cs="Times New Roman"/>
          <w:sz w:val="32"/>
          <w:szCs w:val="32"/>
        </w:rPr>
      </w:pP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lang w:val="en-US" w:eastAsia="zh-CN" w:bidi="ar-SA"/>
        </w:rPr>
        <w:id w:val="14746845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5"/>
            <w:tabs>
              <w:tab w:val="right" w:leader="dot" w:pos="8312"/>
            </w:tabs>
          </w:pPr>
          <w:r>
            <w:rPr>
              <w:rFonts w:ascii="宋体" w:hAnsi="宋体" w:eastAsia="宋体"/>
            </w:rPr>
            <w:fldChar w:fldCharType="begin"/>
          </w:r>
          <w:r>
            <w:rPr>
              <w:rFonts w:ascii="宋体" w:hAnsi="宋体" w:eastAsia="宋体"/>
            </w:rPr>
            <w:instrText xml:space="preserve">TOC \o "1-1" \h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_Toc28948 </w:instrText>
          </w:r>
          <w:r>
            <w:rPr>
              <w:rFonts w:ascii="宋体" w:hAnsi="宋体" w:eastAsia="宋体"/>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_Toc28948 \h </w:instrText>
          </w:r>
          <w:r>
            <w:fldChar w:fldCharType="separate"/>
          </w:r>
          <w:r>
            <w:t>3</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_Toc23591 </w:instrText>
          </w:r>
          <w:r>
            <w:rPr>
              <w:rFonts w:ascii="宋体" w:hAnsi="宋体" w:eastAsia="宋体"/>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_Toc23591 \h </w:instrText>
          </w:r>
          <w:r>
            <w:fldChar w:fldCharType="separate"/>
          </w:r>
          <w:r>
            <w:t>6</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_Toc13069 </w:instrText>
          </w:r>
          <w:r>
            <w:rPr>
              <w:rFonts w:ascii="宋体" w:hAnsi="宋体" w:eastAsia="宋体"/>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_Toc13069 \h </w:instrText>
          </w:r>
          <w:r>
            <w:fldChar w:fldCharType="separate"/>
          </w:r>
          <w:r>
            <w:t>16</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_Toc30122 </w:instrText>
          </w:r>
          <w:r>
            <w:rPr>
              <w:rFonts w:ascii="宋体" w:hAnsi="宋体" w:eastAsia="宋体"/>
            </w:rPr>
            <w:fldChar w:fldCharType="separate"/>
          </w:r>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r>
            <w:tab/>
          </w:r>
          <w:r>
            <w:fldChar w:fldCharType="begin"/>
          </w:r>
          <w:r>
            <w:instrText xml:space="preserve"> PAGEREF _Toc30122 \h </w:instrText>
          </w:r>
          <w:r>
            <w:fldChar w:fldCharType="separate"/>
          </w:r>
          <w:r>
            <w:t>24</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_Toc26837 </w:instrText>
          </w:r>
          <w:r>
            <w:rPr>
              <w:rFonts w:ascii="宋体" w:hAnsi="宋体" w:eastAsia="宋体"/>
            </w:rPr>
            <w:fldChar w:fldCharType="separate"/>
          </w:r>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r>
            <w:tab/>
          </w:r>
          <w:r>
            <w:fldChar w:fldCharType="begin"/>
          </w:r>
          <w:r>
            <w:instrText xml:space="preserve"> PAGEREF _Toc26837 \h </w:instrText>
          </w:r>
          <w:r>
            <w:fldChar w:fldCharType="separate"/>
          </w:r>
          <w:r>
            <w:t>38</w:t>
          </w:r>
          <w:r>
            <w:fldChar w:fldCharType="end"/>
          </w:r>
          <w:r>
            <w:rPr>
              <w:rFonts w:ascii="宋体" w:hAnsi="宋体" w:eastAsia="宋体"/>
            </w:rPr>
            <w:fldChar w:fldCharType="end"/>
          </w:r>
        </w:p>
        <w:p>
          <w:pPr>
            <w:pStyle w:val="15"/>
            <w:tabs>
              <w:tab w:val="right" w:leader="dot" w:pos="8312"/>
            </w:tabs>
          </w:pPr>
          <w:r>
            <w:rPr>
              <w:rFonts w:ascii="宋体" w:hAnsi="宋体" w:eastAsia="宋体"/>
            </w:rPr>
            <w:fldChar w:fldCharType="begin"/>
          </w:r>
          <w:r>
            <w:rPr>
              <w:rFonts w:ascii="宋体" w:hAnsi="宋体" w:eastAsia="宋体"/>
            </w:rPr>
            <w:instrText xml:space="preserve"> HYPERLINK \l _Toc27519 </w:instrText>
          </w:r>
          <w:r>
            <w:rPr>
              <w:rFonts w:ascii="宋体" w:hAnsi="宋体" w:eastAsia="宋体"/>
            </w:rPr>
            <w:fldChar w:fldCharType="separate"/>
          </w:r>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r>
            <w:tab/>
          </w:r>
          <w:r>
            <w:fldChar w:fldCharType="begin"/>
          </w:r>
          <w:r>
            <w:instrText xml:space="preserve"> PAGEREF _Toc27519 \h </w:instrText>
          </w:r>
          <w:r>
            <w:fldChar w:fldCharType="separate"/>
          </w:r>
          <w:r>
            <w:t>41</w:t>
          </w:r>
          <w:r>
            <w:fldChar w:fldCharType="end"/>
          </w:r>
          <w:r>
            <w:rPr>
              <w:rFonts w:ascii="宋体" w:hAnsi="宋体" w:eastAsia="宋体"/>
            </w:rPr>
            <w:fldChar w:fldCharType="end"/>
          </w: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jc w:val="center"/>
        <w:rPr>
          <w:rFonts w:ascii="宋体" w:hAnsi="宋体" w:eastAsia="宋体"/>
        </w:rPr>
      </w:pPr>
    </w:p>
    <w:p>
      <w:pPr>
        <w:pStyle w:val="4"/>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4"/>
        <w:spacing w:before="312" w:after="312"/>
        <w:rPr>
          <w:rFonts w:ascii="Times New Roman" w:hAnsi="Times New Roman" w:eastAsia="宋体" w:cs="Times New Roman"/>
        </w:rPr>
      </w:pPr>
      <w:bookmarkStart w:id="0" w:name="_Toc28948"/>
      <w:bookmarkStart w:id="1" w:name="_Toc3203_WPSOffice_Level1"/>
      <w:r>
        <w:rPr>
          <w:rFonts w:ascii="Times New Roman" w:hAnsi="Times New Roman" w:eastAsia="宋体" w:cs="Times New Roman"/>
        </w:rPr>
        <w:t>采购公告</w:t>
      </w:r>
      <w:bookmarkEnd w:id="0"/>
      <w:bookmarkEnd w:id="1"/>
    </w:p>
    <w:p>
      <w:pPr>
        <w:pStyle w:val="5"/>
        <w:snapToGrid w:val="0"/>
        <w:spacing w:before="120" w:after="120" w:line="240" w:lineRule="auto"/>
        <w:ind w:firstLine="403"/>
        <w:rPr>
          <w:rFonts w:ascii="Times New Roman" w:hAnsi="Times New Roman" w:eastAsia="黑体" w:cs="Times New Roman"/>
          <w:b w:val="0"/>
          <w:sz w:val="22"/>
          <w:szCs w:val="15"/>
        </w:rPr>
      </w:pPr>
      <w:bookmarkStart w:id="2" w:name="_Toc12765"/>
      <w:bookmarkStart w:id="3" w:name="_Toc525632585"/>
      <w:bookmarkStart w:id="4" w:name="_Toc6496_WPSOffice_Level2"/>
      <w:bookmarkStart w:id="5" w:name="_Toc24354_WPSOffice_Level2"/>
      <w:bookmarkStart w:id="6" w:name="_Toc13871"/>
      <w:bookmarkStart w:id="7" w:name="_Toc4489_WPSOffice_Level2"/>
      <w:bookmarkStart w:id="8" w:name="_Toc10395_WPSOffice_Level2"/>
      <w:r>
        <w:rPr>
          <w:rFonts w:ascii="Times New Roman" w:hAnsi="Times New Roman" w:eastAsia="黑体" w:cs="Times New Roman"/>
          <w:b w:val="0"/>
          <w:sz w:val="22"/>
          <w:szCs w:val="15"/>
        </w:rPr>
        <w:t>项目简介</w:t>
      </w:r>
      <w:bookmarkEnd w:id="2"/>
      <w:bookmarkEnd w:id="3"/>
      <w:bookmarkEnd w:id="4"/>
      <w:bookmarkEnd w:id="5"/>
      <w:bookmarkEnd w:id="6"/>
      <w:bookmarkEnd w:id="7"/>
      <w:bookmarkEnd w:id="8"/>
    </w:p>
    <w:p>
      <w:pPr>
        <w:snapToGrid w:val="0"/>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1.1项目名称：</w:t>
      </w:r>
      <w:r>
        <w:rPr>
          <w:rFonts w:hint="eastAsia" w:ascii="宋体" w:hAnsi="宋体" w:eastAsia="宋体" w:cs="宋体"/>
          <w:szCs w:val="21"/>
          <w:u w:val="single"/>
          <w:lang w:val="en-US" w:eastAsia="zh-CN"/>
        </w:rPr>
        <w:t xml:space="preserve">2023年合安中心新开通收费站点厨房设备采购及安装项目 </w:t>
      </w:r>
      <w:r>
        <w:rPr>
          <w:rFonts w:hint="eastAsia" w:ascii="宋体" w:hAnsi="宋体" w:eastAsia="宋体" w:cs="宋体"/>
          <w:szCs w:val="21"/>
          <w:lang w:val="en-US" w:eastAsia="zh-CN"/>
        </w:rPr>
        <w:t xml:space="preserve">  </w:t>
      </w:r>
    </w:p>
    <w:p>
      <w:pPr>
        <w:snapToGrid w:val="0"/>
        <w:spacing w:line="44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rPr>
        <w:t>1.2 采 购 人：</w:t>
      </w:r>
      <w:r>
        <w:rPr>
          <w:rFonts w:hint="eastAsia" w:ascii="宋体" w:hAnsi="宋体" w:eastAsia="宋体" w:cs="宋体"/>
          <w:sz w:val="21"/>
          <w:szCs w:val="21"/>
          <w:u w:val="single"/>
        </w:rPr>
        <w:t xml:space="preserve"> 安徽</w:t>
      </w:r>
      <w:r>
        <w:rPr>
          <w:rFonts w:hint="eastAsia" w:ascii="宋体" w:hAnsi="宋体" w:eastAsia="宋体" w:cs="宋体"/>
          <w:sz w:val="21"/>
          <w:szCs w:val="21"/>
          <w:u w:val="single"/>
          <w:lang w:val="en-US" w:eastAsia="zh-CN"/>
        </w:rPr>
        <w:t xml:space="preserve">省经工物资有限公司  </w:t>
      </w:r>
    </w:p>
    <w:p>
      <w:pPr>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 项目概况：</w:t>
      </w:r>
      <w:r>
        <w:rPr>
          <w:rFonts w:hint="eastAsia" w:ascii="宋体" w:hAnsi="宋体" w:eastAsia="宋体" w:cs="宋体"/>
          <w:sz w:val="21"/>
          <w:szCs w:val="21"/>
          <w:u w:val="single"/>
        </w:rPr>
        <w:t xml:space="preserve"> </w:t>
      </w:r>
      <w:r>
        <w:rPr>
          <w:rFonts w:hint="eastAsia" w:ascii="宋体" w:hAnsi="宋体" w:eastAsia="宋体" w:cs="宋体"/>
          <w:szCs w:val="21"/>
          <w:u w:val="single"/>
          <w:lang w:val="en-US" w:eastAsia="zh-CN"/>
        </w:rPr>
        <w:t>2023年合安中心新开通收费站点厨房设备采购及安装</w:t>
      </w:r>
      <w:r>
        <w:rPr>
          <w:rFonts w:hint="eastAsia" w:ascii="宋体" w:hAnsi="宋体" w:eastAsia="宋体" w:cs="宋体"/>
          <w:szCs w:val="21"/>
          <w:highlight w:val="none"/>
          <w:u w:val="single"/>
          <w:lang w:val="en-US" w:eastAsia="zh-CN"/>
        </w:rPr>
        <w:t>项目，</w:t>
      </w:r>
      <w:r>
        <w:rPr>
          <w:rFonts w:hint="eastAsia" w:ascii="宋体" w:hAnsi="宋体" w:eastAsia="宋体" w:cs="宋体"/>
          <w:sz w:val="21"/>
          <w:szCs w:val="21"/>
          <w:highlight w:val="none"/>
          <w:u w:val="single"/>
        </w:rPr>
        <w:t>包括范岗、柯坦、槎水、岳西东、源潭、庐江东、庐江北的</w:t>
      </w:r>
      <w:r>
        <w:rPr>
          <w:rFonts w:hint="eastAsia" w:ascii="宋体" w:hAnsi="宋体" w:eastAsia="宋体" w:cs="宋体"/>
          <w:sz w:val="21"/>
          <w:szCs w:val="21"/>
          <w:highlight w:val="none"/>
          <w:u w:val="single"/>
          <w:lang w:eastAsia="zh-CN"/>
        </w:rPr>
        <w:t>厨具设备采购及安装</w:t>
      </w:r>
      <w:r>
        <w:rPr>
          <w:rFonts w:hint="eastAsia" w:ascii="Times New Roman" w:hAnsi="Times New Roman" w:eastAsia="宋体" w:cs="Times New Roman"/>
          <w:kern w:val="0"/>
          <w:sz w:val="22"/>
          <w:szCs w:val="22"/>
          <w:highlight w:val="none"/>
          <w:u w:val="none"/>
          <w:lang w:eastAsia="zh-CN"/>
        </w:rPr>
        <w:t>。</w:t>
      </w:r>
    </w:p>
    <w:p>
      <w:pPr>
        <w:pStyle w:val="5"/>
        <w:snapToGrid w:val="0"/>
        <w:spacing w:before="120" w:after="120" w:line="240" w:lineRule="auto"/>
        <w:ind w:firstLine="403"/>
        <w:rPr>
          <w:rFonts w:ascii="Times New Roman" w:hAnsi="Times New Roman" w:eastAsia="黑体" w:cs="Times New Roman"/>
          <w:b w:val="0"/>
          <w:sz w:val="22"/>
          <w:szCs w:val="15"/>
        </w:rPr>
      </w:pPr>
      <w:bookmarkStart w:id="9" w:name="_Toc10274"/>
      <w:bookmarkStart w:id="10" w:name="_Toc525632586"/>
      <w:bookmarkStart w:id="11" w:name="_Toc18367_WPSOffice_Level2"/>
      <w:bookmarkStart w:id="12" w:name="_Toc8128_WPSOffice_Level2"/>
      <w:bookmarkStart w:id="13" w:name="_Toc18453"/>
      <w:bookmarkStart w:id="14" w:name="_Toc17858_WPSOffice_Level2"/>
      <w:bookmarkStart w:id="15" w:name="_Toc23266_WPSOffice_Level2"/>
      <w:r>
        <w:rPr>
          <w:rFonts w:ascii="Times New Roman" w:hAnsi="Times New Roman" w:eastAsia="黑体" w:cs="Times New Roman"/>
          <w:b w:val="0"/>
          <w:sz w:val="22"/>
          <w:szCs w:val="15"/>
        </w:rPr>
        <w:t>采购说明</w:t>
      </w:r>
      <w:bookmarkEnd w:id="9"/>
      <w:bookmarkEnd w:id="10"/>
      <w:bookmarkEnd w:id="11"/>
      <w:bookmarkEnd w:id="12"/>
      <w:bookmarkEnd w:id="13"/>
      <w:bookmarkEnd w:id="14"/>
      <w:bookmarkEnd w:id="15"/>
    </w:p>
    <w:p>
      <w:pPr>
        <w:snapToGrid w:val="0"/>
        <w:spacing w:line="440" w:lineRule="exact"/>
        <w:ind w:firstLine="420" w:firstLineChars="200"/>
        <w:rPr>
          <w:rFonts w:hint="default" w:ascii="宋体" w:hAnsi="宋体" w:eastAsia="宋体" w:cs="宋体"/>
          <w:szCs w:val="21"/>
          <w:u w:val="single"/>
          <w:lang w:val="en-US" w:eastAsia="zh-CN"/>
        </w:rPr>
      </w:pPr>
      <w:bookmarkStart w:id="16" w:name="_Toc4489_WPSOffice_Level3"/>
      <w:r>
        <w:rPr>
          <w:rFonts w:hint="eastAsia" w:ascii="宋体" w:hAnsi="宋体" w:eastAsia="宋体" w:cs="宋体"/>
          <w:szCs w:val="21"/>
        </w:rPr>
        <w:t>2.1 采购方式：</w:t>
      </w:r>
      <w:bookmarkEnd w:id="16"/>
      <w:r>
        <w:rPr>
          <w:rFonts w:hint="eastAsia" w:ascii="宋体" w:hAnsi="宋体" w:eastAsia="宋体" w:cs="宋体"/>
          <w:szCs w:val="21"/>
          <w:u w:val="single"/>
          <w:lang w:val="en-US" w:eastAsia="zh-CN"/>
        </w:rPr>
        <w:t xml:space="preserve">  询比采购   </w:t>
      </w:r>
    </w:p>
    <w:p>
      <w:pPr>
        <w:snapToGrid w:val="0"/>
        <w:spacing w:line="440" w:lineRule="exact"/>
        <w:ind w:firstLine="420" w:firstLineChars="200"/>
        <w:rPr>
          <w:rFonts w:hint="eastAsia" w:ascii="宋体" w:hAnsi="宋体" w:eastAsia="宋体" w:cs="宋体"/>
          <w:szCs w:val="21"/>
        </w:rPr>
      </w:pPr>
      <w:bookmarkStart w:id="17" w:name="_Toc23266_WPSOffice_Level3"/>
      <w:r>
        <w:rPr>
          <w:rFonts w:hint="eastAsia" w:ascii="宋体" w:hAnsi="宋体" w:eastAsia="宋体" w:cs="宋体"/>
          <w:szCs w:val="21"/>
        </w:rPr>
        <w:t>2.2 资金来源及比例：</w:t>
      </w:r>
      <w:bookmarkEnd w:id="17"/>
      <w:bookmarkStart w:id="18" w:name="_Toc22379_WPSOffice_Level3"/>
      <w:r>
        <w:rPr>
          <w:rFonts w:hint="eastAsia" w:ascii="宋体" w:hAnsi="宋体" w:eastAsia="宋体" w:cs="宋体"/>
          <w:szCs w:val="21"/>
        </w:rPr>
        <w:t>100%来自企业自筹</w:t>
      </w:r>
    </w:p>
    <w:p>
      <w:pPr>
        <w:snapToGrid w:val="0"/>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2.3 采购范围：</w:t>
      </w:r>
      <w:r>
        <w:rPr>
          <w:rFonts w:hint="eastAsia" w:ascii="宋体" w:hAnsi="宋体" w:eastAsia="宋体" w:cs="宋体"/>
          <w:szCs w:val="21"/>
          <w:u w:val="single"/>
          <w:lang w:val="en-US" w:eastAsia="zh-CN"/>
        </w:rPr>
        <w:t xml:space="preserve">  直饮净水机、冰箱、电蒸饭车、消毒柜、水池、电磁灶等。                                             </w:t>
      </w:r>
      <w:r>
        <w:rPr>
          <w:rFonts w:hint="eastAsia" w:ascii="宋体" w:hAnsi="宋体" w:eastAsia="宋体" w:cs="宋体"/>
          <w:szCs w:val="21"/>
          <w:lang w:val="en-US" w:eastAsia="zh-CN"/>
        </w:rPr>
        <w:t xml:space="preserve">                                                           </w:t>
      </w:r>
    </w:p>
    <w:p>
      <w:pPr>
        <w:snapToGrid w:val="0"/>
        <w:spacing w:line="44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2.4 品牌范围：</w:t>
      </w:r>
      <w:r>
        <w:rPr>
          <w:rFonts w:hint="eastAsia" w:ascii="宋体" w:hAnsi="宋体" w:eastAsia="宋体" w:cs="宋体"/>
          <w:szCs w:val="21"/>
          <w:u w:val="single"/>
          <w:lang w:val="en-US" w:eastAsia="zh-CN"/>
        </w:rPr>
        <w:t xml:space="preserve">   产品参数详见工程量清单。                              </w:t>
      </w:r>
      <w:r>
        <w:rPr>
          <w:rFonts w:hint="eastAsia" w:ascii="宋体" w:hAnsi="宋体" w:eastAsia="宋体" w:cs="宋体"/>
          <w:szCs w:val="21"/>
          <w:lang w:val="en-US" w:eastAsia="zh-CN"/>
        </w:rPr>
        <w:t xml:space="preserve">                                                               </w:t>
      </w:r>
    </w:p>
    <w:p>
      <w:pPr>
        <w:snapToGrid w:val="0"/>
        <w:spacing w:line="44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2.5 合同包划分：</w:t>
      </w:r>
      <w:r>
        <w:rPr>
          <w:rFonts w:hint="eastAsia" w:ascii="宋体" w:hAnsi="宋体" w:eastAsia="宋体" w:cs="宋体"/>
          <w:szCs w:val="21"/>
          <w:u w:val="single"/>
          <w:lang w:val="en-US" w:eastAsia="zh-CN"/>
        </w:rPr>
        <w:t xml:space="preserve">   1个包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p>
    <w:p>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 xml:space="preserve"> 最高限价：</w:t>
      </w:r>
      <w:bookmarkEnd w:id="18"/>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66万元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7</w:t>
      </w:r>
      <w:r>
        <w:rPr>
          <w:rFonts w:hint="eastAsia" w:ascii="宋体" w:hAnsi="宋体" w:eastAsia="宋体" w:cs="宋体"/>
          <w:szCs w:val="21"/>
        </w:rPr>
        <w:t xml:space="preserve"> </w:t>
      </w:r>
      <w:r>
        <w:rPr>
          <w:rFonts w:hint="eastAsia" w:ascii="宋体" w:hAnsi="宋体" w:eastAsia="宋体" w:cs="宋体"/>
          <w:szCs w:val="21"/>
          <w:lang w:val="en-US" w:eastAsia="zh-CN"/>
        </w:rPr>
        <w:t>交货期</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 w:val="22"/>
          <w:szCs w:val="22"/>
          <w:u w:val="single"/>
          <w:lang w:val="en-US" w:eastAsia="zh-CN"/>
        </w:rPr>
        <w:t>在</w:t>
      </w:r>
      <w:r>
        <w:rPr>
          <w:rFonts w:hint="eastAsia" w:ascii="宋体" w:hAnsi="宋体" w:eastAsia="宋体" w:cs="宋体"/>
          <w:kern w:val="0"/>
          <w:sz w:val="22"/>
          <w:szCs w:val="22"/>
          <w:highlight w:val="none"/>
          <w:u w:val="single"/>
        </w:rPr>
        <w:t>接到甲方相应批次交货通知之日起</w:t>
      </w:r>
      <w:r>
        <w:rPr>
          <w:rFonts w:hint="eastAsia" w:ascii="宋体" w:hAnsi="宋体" w:eastAsia="宋体" w:cs="宋体"/>
          <w:kern w:val="0"/>
          <w:sz w:val="22"/>
          <w:szCs w:val="22"/>
          <w:highlight w:val="none"/>
          <w:u w:val="single"/>
          <w:lang w:val="en-US" w:eastAsia="zh-CN"/>
        </w:rPr>
        <w:t>20</w:t>
      </w:r>
      <w:r>
        <w:rPr>
          <w:rFonts w:hint="eastAsia" w:ascii="宋体" w:hAnsi="宋体" w:eastAsia="宋体" w:cs="宋体"/>
          <w:kern w:val="0"/>
          <w:sz w:val="22"/>
          <w:szCs w:val="22"/>
          <w:highlight w:val="none"/>
          <w:u w:val="single"/>
        </w:rPr>
        <w:t>个日历天内交货并安装调试</w:t>
      </w:r>
      <w:r>
        <w:rPr>
          <w:rFonts w:hint="eastAsia"/>
          <w:kern w:val="0"/>
          <w:sz w:val="22"/>
          <w:szCs w:val="22"/>
          <w:highlight w:val="none"/>
          <w:u w:val="single"/>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pStyle w:val="5"/>
        <w:snapToGrid w:val="0"/>
        <w:spacing w:before="120" w:after="120" w:line="240" w:lineRule="auto"/>
        <w:ind w:firstLine="403"/>
        <w:rPr>
          <w:rFonts w:ascii="Times New Roman" w:hAnsi="Times New Roman" w:eastAsia="黑体" w:cs="Times New Roman"/>
          <w:b w:val="0"/>
          <w:sz w:val="22"/>
          <w:szCs w:val="15"/>
        </w:rPr>
      </w:pPr>
      <w:bookmarkStart w:id="19" w:name="_Toc1622_WPSOffice_Level2"/>
      <w:bookmarkStart w:id="20" w:name="_Toc22379_WPSOffice_Level2"/>
      <w:bookmarkStart w:id="21" w:name="_Toc6388"/>
      <w:bookmarkStart w:id="22" w:name="_Toc29516_WPSOffice_Level2"/>
      <w:bookmarkStart w:id="23" w:name="_Toc31673_WPSOffice_Level2"/>
      <w:bookmarkStart w:id="24" w:name="_Toc525632587"/>
      <w:bookmarkStart w:id="25" w:name="_Toc3714"/>
      <w:r>
        <w:rPr>
          <w:rFonts w:ascii="Times New Roman" w:hAnsi="Times New Roman" w:eastAsia="黑体" w:cs="Times New Roman"/>
          <w:b w:val="0"/>
          <w:sz w:val="22"/>
          <w:szCs w:val="15"/>
        </w:rPr>
        <w:t>供应商资格条件</w:t>
      </w:r>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2"/>
        </w:rPr>
      </w:pPr>
      <w:r>
        <w:rPr>
          <w:rFonts w:hint="eastAsia" w:ascii="宋体" w:hAnsi="宋体" w:eastAsia="宋体" w:cs="宋体"/>
          <w:szCs w:val="22"/>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2"/>
        </w:rPr>
      </w:pPr>
      <w:r>
        <w:rPr>
          <w:rFonts w:hint="eastAsia" w:ascii="Times New Roman" w:hAnsi="Times New Roman" w:cs="Times New Roman"/>
          <w:szCs w:val="22"/>
          <w:lang w:val="en-US" w:eastAsia="zh-CN"/>
        </w:rPr>
        <w:t>（1）</w:t>
      </w:r>
      <w:r>
        <w:rPr>
          <w:rFonts w:hint="eastAsia" w:ascii="宋体" w:hAnsi="宋体" w:eastAsia="宋体" w:cs="宋体"/>
          <w:szCs w:val="22"/>
        </w:rPr>
        <w:t>资质最低要求：</w:t>
      </w:r>
    </w:p>
    <w:p>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宋体" w:hAnsi="宋体" w:eastAsia="宋体" w:cs="宋体"/>
          <w:szCs w:val="22"/>
          <w:lang w:eastAsia="zh-CN"/>
        </w:rPr>
      </w:pPr>
      <w:r>
        <w:rPr>
          <w:rFonts w:hint="eastAsia" w:ascii="宋体" w:hAnsi="宋体" w:eastAsia="宋体" w:cs="宋体"/>
          <w:szCs w:val="22"/>
        </w:rPr>
        <w:t>具备独立法人资格，持有有效的营业执照</w:t>
      </w:r>
      <w:r>
        <w:rPr>
          <w:rFonts w:hint="eastAsia" w:ascii="宋体" w:hAnsi="宋体" w:eastAsia="宋体" w:cs="宋体"/>
          <w:szCs w:val="22"/>
          <w:lang w:eastAsia="zh-CN"/>
        </w:rPr>
        <w:t>。</w:t>
      </w:r>
    </w:p>
    <w:p>
      <w:pPr>
        <w:numPr>
          <w:ilvl w:val="0"/>
          <w:numId w:val="0"/>
        </w:numPr>
        <w:snapToGrid w:val="0"/>
        <w:spacing w:line="440" w:lineRule="exact"/>
        <w:ind w:firstLine="420" w:firstLineChars="200"/>
        <w:rPr>
          <w:rFonts w:hint="eastAsia" w:ascii="Times New Roman" w:hAnsi="Times New Roman" w:cs="Times New Roman"/>
          <w:szCs w:val="22"/>
        </w:rPr>
      </w:pP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2</w:t>
      </w:r>
      <w:r>
        <w:rPr>
          <w:rFonts w:hint="eastAsia" w:ascii="Times New Roman" w:hAnsi="Times New Roman" w:cs="Times New Roman"/>
          <w:szCs w:val="22"/>
          <w:lang w:eastAsia="zh-CN"/>
        </w:rPr>
        <w:t>）</w:t>
      </w:r>
      <w:r>
        <w:rPr>
          <w:rFonts w:hint="eastAsia" w:ascii="Times New Roman" w:hAnsi="Times New Roman" w:cs="Times New Roman"/>
          <w:szCs w:val="22"/>
        </w:rPr>
        <w:t>业绩最低要求：</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420" w:firstLineChars="200"/>
        <w:jc w:val="both"/>
        <w:textAlignment w:val="auto"/>
        <w:rPr>
          <w:rFonts w:hint="eastAsia" w:ascii="宋体" w:hAnsi="宋体" w:eastAsia="宋体" w:cs="宋体"/>
          <w:b/>
          <w:bCs/>
          <w:highlight w:val="none"/>
          <w:u w:val="single"/>
          <w:lang w:val="en-US" w:eastAsia="zh-CN"/>
        </w:rPr>
      </w:pPr>
      <w:r>
        <w:rPr>
          <w:rFonts w:hint="eastAsia" w:ascii="宋体" w:hAnsi="宋体" w:eastAsia="宋体" w:cs="宋体"/>
          <w:b/>
          <w:bCs/>
          <w:highlight w:val="none"/>
          <w:u w:val="single"/>
          <w:lang w:val="en-US" w:eastAsia="zh-CN"/>
        </w:rPr>
        <w:t xml:space="preserve"> 至少提供1个自2020年1月1日以来，单项合同额不低于50万元的</w:t>
      </w:r>
      <w:r>
        <w:rPr>
          <w:rFonts w:hint="eastAsia" w:ascii="Times New Roman" w:hAnsi="Times New Roman" w:cs="Times New Roman"/>
          <w:b/>
          <w:bCs/>
          <w:color w:val="auto"/>
          <w:szCs w:val="21"/>
          <w:highlight w:val="none"/>
          <w:u w:val="single"/>
          <w:lang w:val="en-US" w:eastAsia="zh-CN"/>
        </w:rPr>
        <w:t>厨具设备销售合同业绩。</w:t>
      </w:r>
    </w:p>
    <w:p>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firstLine="420" w:firstLineChars="200"/>
        <w:jc w:val="both"/>
        <w:textAlignment w:val="auto"/>
        <w:rPr>
          <w:rFonts w:hint="eastAsia"/>
          <w:lang w:val="en-US" w:eastAsia="zh-CN"/>
        </w:rPr>
      </w:pPr>
      <w:r>
        <w:rPr>
          <w:rFonts w:hint="eastAsia"/>
          <w:lang w:val="en-US" w:eastAsia="zh-CN"/>
        </w:rPr>
        <w:t>业绩证明材料要求：</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①合同协议书</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 xml:space="preserve">件；                                                                                                                                                                                                                                                                                                                                                                                                                                                                                                                                                                                                                                                                                                                                                                                                                                                                                                                                                                                                                                                                                                                                                                                                                                                                                                                                                                                                                                                                                                                                                                                                                                                                                                                                                                                                                                                                                                                                                                                                                                                                                                                                                                          </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②若合同协议书中不能明确反映出招标文件所要求内容的（如合同金额、合同签订时间、供货内容等），则须提供业主单位（甲方）出具加盖公章的证明材料</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件。</w:t>
      </w:r>
    </w:p>
    <w:p>
      <w:pPr>
        <w:pStyle w:val="19"/>
        <w:keepNext w:val="0"/>
        <w:keepLines w:val="0"/>
        <w:pageBreakBefore w:val="0"/>
        <w:widowControl w:val="0"/>
        <w:kinsoku/>
        <w:wordWrap/>
        <w:overflowPunct/>
        <w:topLinePunct w:val="0"/>
        <w:autoSpaceDE/>
        <w:autoSpaceDN/>
        <w:bidi w:val="0"/>
        <w:adjustRightInd/>
        <w:spacing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③若同一业绩合同中包含多项</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，则合同中应能体现资格要求中所需</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的内容和金额，无法体现的，须提供供货单据、供货发票、业主验收单等能证明相关评审因素的证明材料，否则业绩不</w:t>
      </w:r>
      <w:r>
        <w:rPr>
          <w:rFonts w:hint="eastAsia" w:asciiTheme="minorHAnsi" w:hAnsiTheme="minorHAnsi" w:cstheme="minorBidi"/>
          <w:kern w:val="2"/>
          <w:sz w:val="21"/>
          <w:szCs w:val="24"/>
          <w:lang w:val="en-US" w:eastAsia="zh-CN" w:bidi="ar-SA"/>
        </w:rPr>
        <w:t>予</w:t>
      </w:r>
      <w:r>
        <w:rPr>
          <w:rFonts w:hint="eastAsia" w:asciiTheme="minorHAnsi" w:hAnsiTheme="minorHAnsi" w:eastAsiaTheme="minorEastAsia" w:cstheme="minorBidi"/>
          <w:kern w:val="2"/>
          <w:sz w:val="21"/>
          <w:szCs w:val="24"/>
          <w:lang w:val="en-US" w:eastAsia="zh-CN" w:bidi="ar-SA"/>
        </w:rPr>
        <w:t>认可</w:t>
      </w:r>
      <w:r>
        <w:rPr>
          <w:rFonts w:hint="eastAsia" w:asciiTheme="minorHAnsi" w:hAnsiTheme="minorHAnsi" w:cstheme="minorBidi"/>
          <w:kern w:val="2"/>
          <w:sz w:val="21"/>
          <w:szCs w:val="24"/>
          <w:lang w:val="en-US" w:eastAsia="zh-CN" w:bidi="ar-SA"/>
        </w:rPr>
        <w:t>。</w:t>
      </w:r>
    </w:p>
    <w:p>
      <w:pPr>
        <w:numPr>
          <w:ilvl w:val="255"/>
          <w:numId w:val="0"/>
        </w:numPr>
        <w:snapToGrid w:val="0"/>
        <w:spacing w:line="440" w:lineRule="exact"/>
        <w:ind w:firstLine="420" w:firstLineChars="200"/>
        <w:rPr>
          <w:rFonts w:hint="eastAsia" w:ascii="Times New Roman" w:hAnsi="Times New Roman" w:cs="Times New Roman" w:eastAsiaTheme="minorEastAsia"/>
          <w:szCs w:val="22"/>
          <w:lang w:eastAsia="zh-CN"/>
        </w:rPr>
      </w:pPr>
      <w:r>
        <w:rPr>
          <w:rFonts w:hint="eastAsia" w:asciiTheme="minorEastAsia" w:hAnsiTheme="minorEastAsia" w:eastAsiaTheme="minorEastAsia" w:cstheme="minorEastAsia"/>
          <w:szCs w:val="22"/>
        </w:rPr>
        <w:t>（4）</w:t>
      </w:r>
      <w:r>
        <w:rPr>
          <w:rFonts w:ascii="Times New Roman" w:hAnsi="Times New Roman" w:cs="Times New Roman"/>
          <w:szCs w:val="22"/>
        </w:rPr>
        <w:t>信誉要求最低要求：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pPr>
      <w:r>
        <w:rPr>
          <w:rFonts w:hint="eastAsia" w:ascii="Times New Roman" w:hAnsi="Times New Roman"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向前追溯3年）供应商或其法定代表人、拟委任的项目经理</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如有</w:t>
      </w:r>
      <w:r>
        <w:rPr>
          <w:rFonts w:hint="eastAsia" w:ascii="Times New Roman" w:hAnsi="Times New Roman" w:cs="Times New Roman"/>
          <w:szCs w:val="22"/>
          <w:lang w:eastAsia="zh-CN"/>
        </w:rPr>
        <w:t>）</w:t>
      </w:r>
      <w:r>
        <w:rPr>
          <w:rFonts w:hint="eastAsia" w:ascii="Times New Roman" w:hAnsi="Times New Roman" w:cs="Times New Roman"/>
          <w:szCs w:val="22"/>
        </w:rPr>
        <w:t>未</w:t>
      </w:r>
      <w:r>
        <w:rPr>
          <w:rFonts w:ascii="Times New Roman" w:hAnsi="Times New Roman" w:cs="Times New Roman"/>
          <w:szCs w:val="22"/>
        </w:rPr>
        <w:t>有行贿犯罪行为。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rPr>
      </w:pPr>
      <w:r>
        <w:rPr>
          <w:rFonts w:hint="eastAsia" w:ascii="Times New Roman" w:hAnsi="Times New Roman"/>
        </w:rPr>
        <w:t>⑥其他要求：</w:t>
      </w:r>
      <w:r>
        <w:rPr>
          <w:rFonts w:hint="eastAsia" w:ascii="Times New Roman" w:hAnsi="Times New Roman"/>
          <w:u w:val="single"/>
          <w:lang w:val="en-US" w:eastAsia="zh-CN"/>
        </w:rPr>
        <w:t xml:space="preserve">    /     </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240" w:lineRule="auto"/>
        <w:ind w:firstLine="403"/>
        <w:rPr>
          <w:rFonts w:ascii="Times New Roman" w:hAnsi="Times New Roman" w:eastAsia="黑体" w:cs="Times New Roman"/>
          <w:b w:val="0"/>
          <w:sz w:val="22"/>
          <w:szCs w:val="15"/>
        </w:rPr>
      </w:pPr>
      <w:bookmarkStart w:id="26" w:name="_Toc29452_WPSOffice_Level2"/>
      <w:bookmarkStart w:id="27" w:name="_Toc4109_WPSOffice_Level2"/>
      <w:bookmarkStart w:id="28" w:name="_Toc4751"/>
      <w:bookmarkStart w:id="29" w:name="_Toc1994"/>
      <w:bookmarkStart w:id="30" w:name="_Toc525632588"/>
      <w:bookmarkStart w:id="31" w:name="_Toc25666_WPSOffice_Level2"/>
      <w:bookmarkStart w:id="32" w:name="_Toc2996_WPSOffice_Level2"/>
      <w:r>
        <w:rPr>
          <w:rFonts w:hint="eastAsia" w:ascii="Times New Roman" w:hAnsi="Times New Roman" w:eastAsia="黑体" w:cs="Times New Roman"/>
          <w:b w:val="0"/>
          <w:sz w:val="22"/>
          <w:szCs w:val="15"/>
        </w:rPr>
        <w:t>询比文件</w:t>
      </w:r>
      <w:r>
        <w:rPr>
          <w:rFonts w:ascii="Times New Roman" w:hAnsi="Times New Roman" w:eastAsia="黑体" w:cs="Times New Roman"/>
          <w:b w:val="0"/>
          <w:sz w:val="22"/>
          <w:szCs w:val="15"/>
        </w:rPr>
        <w:t>的获取</w:t>
      </w:r>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2"/>
        </w:rPr>
      </w:pPr>
      <w:r>
        <w:rPr>
          <w:rFonts w:hint="eastAsia" w:ascii="宋体" w:hAnsi="宋体" w:eastAsia="宋体" w:cs="宋体"/>
          <w:szCs w:val="22"/>
        </w:rPr>
        <w:t>供应商应在递交响应文件的截止时间前登录</w:t>
      </w:r>
      <w:r>
        <w:rPr>
          <w:rFonts w:hint="eastAsia" w:ascii="宋体" w:hAnsi="宋体" w:eastAsia="宋体" w:cs="宋体"/>
          <w:szCs w:val="22"/>
          <w:lang w:eastAsia="zh-CN"/>
        </w:rPr>
        <w:t>“</w:t>
      </w:r>
      <w:r>
        <w:rPr>
          <w:rFonts w:hint="eastAsia" w:ascii="宋体" w:hAnsi="宋体" w:eastAsia="宋体" w:cs="宋体"/>
          <w:szCs w:val="22"/>
        </w:rPr>
        <w:t>安徽</w:t>
      </w:r>
      <w:r>
        <w:rPr>
          <w:rFonts w:hint="eastAsia" w:ascii="宋体" w:hAnsi="宋体" w:eastAsia="宋体" w:cs="宋体"/>
          <w:szCs w:val="22"/>
          <w:lang w:val="en-US" w:eastAsia="zh-CN"/>
        </w:rPr>
        <w:t>省经工建设集团有限公司</w:t>
      </w:r>
      <w:r>
        <w:rPr>
          <w:rFonts w:hint="eastAsia" w:ascii="宋体" w:hAnsi="宋体" w:eastAsia="宋体" w:cs="宋体"/>
          <w:szCs w:val="22"/>
          <w:lang w:eastAsia="zh-CN"/>
        </w:rPr>
        <w:t>”</w:t>
      </w:r>
      <w:r>
        <w:rPr>
          <w:rFonts w:hint="eastAsia" w:ascii="宋体" w:hAnsi="宋体" w:eastAsia="宋体" w:cs="宋体"/>
          <w:szCs w:val="22"/>
        </w:rPr>
        <w:t>网站（https://www.ahjggroup.com/）</w:t>
      </w:r>
      <w:r>
        <w:rPr>
          <w:rFonts w:hint="eastAsia" w:ascii="宋体" w:hAnsi="宋体" w:eastAsia="宋体" w:cs="宋体"/>
          <w:szCs w:val="22"/>
          <w:lang w:eastAsia="zh-CN"/>
        </w:rPr>
        <w:t>“</w:t>
      </w:r>
      <w:r>
        <w:rPr>
          <w:rFonts w:hint="eastAsia" w:ascii="宋体" w:hAnsi="宋体" w:eastAsia="宋体" w:cs="宋体"/>
          <w:szCs w:val="22"/>
          <w:lang w:val="en-US" w:eastAsia="zh-CN"/>
        </w:rPr>
        <w:t>通知公告</w:t>
      </w:r>
      <w:r>
        <w:rPr>
          <w:rFonts w:hint="eastAsia" w:ascii="宋体" w:hAnsi="宋体" w:eastAsia="宋体" w:cs="宋体"/>
          <w:szCs w:val="22"/>
          <w:lang w:eastAsia="zh-CN"/>
        </w:rPr>
        <w:t>”</w:t>
      </w:r>
      <w:r>
        <w:rPr>
          <w:rFonts w:hint="eastAsia" w:ascii="宋体" w:hAnsi="宋体" w:eastAsia="宋体" w:cs="宋体"/>
          <w:szCs w:val="22"/>
        </w:rPr>
        <w:t>栏，选择所参加的</w:t>
      </w:r>
      <w:r>
        <w:rPr>
          <w:rFonts w:hint="eastAsia" w:ascii="宋体" w:hAnsi="宋体" w:eastAsia="宋体" w:cs="宋体"/>
          <w:szCs w:val="22"/>
          <w:lang w:val="en-US" w:eastAsia="zh-CN"/>
        </w:rPr>
        <w:t>合同包</w:t>
      </w:r>
      <w:r>
        <w:rPr>
          <w:rFonts w:hint="eastAsia" w:ascii="宋体" w:hAnsi="宋体" w:eastAsia="宋体" w:cs="宋体"/>
          <w:szCs w:val="22"/>
        </w:rPr>
        <w:t>，自行下载询比文件及相关资料</w:t>
      </w:r>
      <w:r>
        <w:rPr>
          <w:rFonts w:hint="eastAsia" w:ascii="宋体" w:hAnsi="宋体" w:eastAsia="宋体" w:cs="宋体"/>
          <w:szCs w:val="22"/>
          <w:lang w:eastAsia="zh-CN"/>
        </w:rPr>
        <w:t>（</w:t>
      </w:r>
      <w:r>
        <w:rPr>
          <w:rFonts w:hint="eastAsia" w:ascii="宋体" w:hAnsi="宋体" w:eastAsia="宋体" w:cs="宋体"/>
          <w:szCs w:val="22"/>
          <w:lang w:val="en-US" w:eastAsia="zh-CN"/>
        </w:rPr>
        <w:t>含澄清、</w:t>
      </w:r>
      <w:r>
        <w:rPr>
          <w:rFonts w:hint="eastAsia" w:ascii="宋体" w:hAnsi="宋体" w:eastAsia="宋体" w:cs="宋体"/>
          <w:szCs w:val="22"/>
          <w:highlight w:val="none"/>
          <w:lang w:val="en-US" w:eastAsia="zh-CN"/>
        </w:rPr>
        <w:t>补遗及相关补充文件</w:t>
      </w:r>
      <w:r>
        <w:rPr>
          <w:rFonts w:hint="eastAsia" w:ascii="宋体" w:hAnsi="宋体" w:eastAsia="宋体" w:cs="宋体"/>
          <w:szCs w:val="22"/>
          <w:lang w:eastAsia="zh-CN"/>
        </w:rPr>
        <w:t>）</w:t>
      </w:r>
      <w:r>
        <w:rPr>
          <w:rFonts w:hint="eastAsia" w:ascii="宋体" w:hAnsi="宋体" w:eastAsia="宋体" w:cs="宋体"/>
          <w:szCs w:val="22"/>
        </w:rPr>
        <w:t>。未按规定在</w:t>
      </w:r>
      <w:r>
        <w:rPr>
          <w:rFonts w:hint="eastAsia" w:ascii="宋体" w:hAnsi="宋体" w:eastAsia="宋体" w:cs="宋体"/>
          <w:szCs w:val="22"/>
          <w:lang w:eastAsia="zh-CN"/>
        </w:rPr>
        <w:t>“</w:t>
      </w:r>
      <w:r>
        <w:rPr>
          <w:rFonts w:hint="eastAsia" w:ascii="宋体" w:hAnsi="宋体" w:eastAsia="宋体" w:cs="宋体"/>
          <w:szCs w:val="22"/>
        </w:rPr>
        <w:t>安徽</w:t>
      </w:r>
      <w:r>
        <w:rPr>
          <w:rFonts w:hint="eastAsia" w:ascii="宋体" w:hAnsi="宋体" w:eastAsia="宋体" w:cs="宋体"/>
          <w:szCs w:val="22"/>
          <w:lang w:val="en-US" w:eastAsia="zh-CN"/>
        </w:rPr>
        <w:t>省经工建设集团有限公司</w:t>
      </w:r>
      <w:r>
        <w:rPr>
          <w:rFonts w:hint="eastAsia" w:ascii="宋体" w:hAnsi="宋体" w:eastAsia="宋体" w:cs="宋体"/>
          <w:szCs w:val="22"/>
          <w:lang w:eastAsia="zh-CN"/>
        </w:rPr>
        <w:t>”</w:t>
      </w:r>
      <w:r>
        <w:rPr>
          <w:rFonts w:hint="eastAsia" w:ascii="宋体" w:hAnsi="宋体" w:eastAsia="宋体" w:cs="宋体"/>
          <w:szCs w:val="22"/>
        </w:rPr>
        <w:t>（https://www.ahjggroup.com/）</w:t>
      </w:r>
      <w:r>
        <w:rPr>
          <w:rFonts w:hint="eastAsia" w:ascii="宋体" w:hAnsi="宋体" w:eastAsia="宋体" w:cs="宋体"/>
          <w:szCs w:val="22"/>
          <w:lang w:eastAsia="zh-CN"/>
        </w:rPr>
        <w:t>“</w:t>
      </w:r>
      <w:r>
        <w:rPr>
          <w:rFonts w:hint="eastAsia" w:ascii="宋体" w:hAnsi="宋体" w:eastAsia="宋体" w:cs="宋体"/>
          <w:szCs w:val="22"/>
          <w:lang w:val="en-US" w:eastAsia="zh-CN"/>
        </w:rPr>
        <w:t>通知公告</w:t>
      </w:r>
      <w:r>
        <w:rPr>
          <w:rFonts w:hint="eastAsia" w:ascii="宋体" w:hAnsi="宋体" w:eastAsia="宋体" w:cs="宋体"/>
          <w:szCs w:val="22"/>
          <w:lang w:eastAsia="zh-CN"/>
        </w:rPr>
        <w:t>”</w:t>
      </w:r>
      <w:r>
        <w:rPr>
          <w:rFonts w:hint="eastAsia" w:ascii="宋体" w:hAnsi="宋体" w:eastAsia="宋体" w:cs="宋体"/>
          <w:szCs w:val="22"/>
        </w:rPr>
        <w:t>栏下载询比文件的，后续将不予接受其响应文件。</w:t>
      </w:r>
    </w:p>
    <w:p>
      <w:pPr>
        <w:pStyle w:val="5"/>
        <w:snapToGrid w:val="0"/>
        <w:spacing w:before="120" w:after="120" w:line="240" w:lineRule="auto"/>
        <w:ind w:firstLine="403"/>
        <w:rPr>
          <w:rFonts w:hint="eastAsia" w:ascii="Times New Roman" w:hAnsi="Times New Roman" w:eastAsia="黑体" w:cs="Times New Roman"/>
          <w:b w:val="0"/>
          <w:sz w:val="22"/>
          <w:szCs w:val="15"/>
        </w:rPr>
      </w:pPr>
      <w:bookmarkStart w:id="33" w:name="_Toc726"/>
      <w:bookmarkStart w:id="34" w:name="_Toc525632589"/>
      <w:bookmarkStart w:id="35" w:name="_Toc22719"/>
      <w:bookmarkStart w:id="36" w:name="_Toc525632591"/>
      <w:r>
        <w:rPr>
          <w:rFonts w:hint="eastAsia" w:ascii="Times New Roman" w:hAnsi="Times New Roman" w:eastAsia="黑体" w:cs="Times New Roman"/>
          <w:b w:val="0"/>
          <w:sz w:val="22"/>
          <w:szCs w:val="15"/>
        </w:rPr>
        <w:t>响应文件的递交</w:t>
      </w:r>
      <w:bookmarkEnd w:id="33"/>
      <w:bookmarkEnd w:id="34"/>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firstLineChars="200"/>
        <w:jc w:val="both"/>
        <w:textAlignment w:val="auto"/>
        <w:rPr>
          <w:rFonts w:hint="eastAsia" w:ascii="Times New Roman" w:hAnsi="Times New Roman" w:cs="Times New Roman" w:eastAsiaTheme="minorEastAsia"/>
          <w:kern w:val="2"/>
          <w:sz w:val="21"/>
          <w:szCs w:val="22"/>
          <w:u w:val="none"/>
          <w:lang w:val="en-US" w:eastAsia="zh-CN"/>
        </w:rPr>
      </w:pPr>
      <w:r>
        <w:rPr>
          <w:rFonts w:hint="eastAsia" w:asciiTheme="minorEastAsia" w:hAnsiTheme="minorEastAsia" w:eastAsiaTheme="minorEastAsia" w:cstheme="minorEastAsia"/>
          <w:sz w:val="21"/>
          <w:szCs w:val="21"/>
        </w:rPr>
        <w:t>响应文件递交的截止时间</w:t>
      </w:r>
      <w:r>
        <w:rPr>
          <w:rFonts w:hint="eastAsia" w:asciiTheme="minorEastAsia" w:hAnsiTheme="minorEastAsia" w:eastAsiaTheme="minorEastAsia" w:cstheme="minorEastAsia"/>
          <w:sz w:val="21"/>
          <w:szCs w:val="21"/>
          <w:lang w:val="en-US" w:eastAsia="zh-CN"/>
        </w:rPr>
        <w:t>为</w:t>
      </w:r>
      <w:r>
        <w:rPr>
          <w:rFonts w:hint="eastAsia" w:asciiTheme="minorEastAsia" w:hAnsiTheme="minorEastAsia" w:eastAsiaTheme="minorEastAsia" w:cstheme="minorEastAsia"/>
          <w:sz w:val="21"/>
          <w:szCs w:val="21"/>
          <w:highlight w:val="none"/>
          <w:u w:val="single"/>
          <w:lang w:val="en-US" w:eastAsia="zh-CN"/>
        </w:rPr>
        <w:t xml:space="preserve"> 2023 </w:t>
      </w:r>
      <w:r>
        <w:rPr>
          <w:rFonts w:hint="eastAsia" w:asciiTheme="minorEastAsia" w:hAnsiTheme="minorEastAsia" w:eastAsiaTheme="minorEastAsia" w:cstheme="minorEastAsia"/>
          <w:sz w:val="21"/>
          <w:szCs w:val="21"/>
          <w:highlight w:val="none"/>
          <w:lang w:val="en-US" w:eastAsia="zh-CN"/>
        </w:rPr>
        <w:t>年</w:t>
      </w:r>
      <w:r>
        <w:rPr>
          <w:rFonts w:hint="eastAsia" w:asciiTheme="minorEastAsia" w:hAnsiTheme="minorEastAsia" w:eastAsiaTheme="minorEastAsia" w:cstheme="minorEastAsia"/>
          <w:sz w:val="21"/>
          <w:szCs w:val="21"/>
          <w:highlight w:val="none"/>
          <w:u w:val="single"/>
          <w:lang w:val="en-US" w:eastAsia="zh-CN"/>
        </w:rPr>
        <w:t xml:space="preserve">11 </w:t>
      </w:r>
      <w:r>
        <w:rPr>
          <w:rFonts w:hint="eastAsia" w:asciiTheme="minorEastAsia" w:hAnsiTheme="minorEastAsia" w:eastAsiaTheme="minorEastAsia" w:cstheme="minorEastAsia"/>
          <w:sz w:val="21"/>
          <w:szCs w:val="21"/>
          <w:highlight w:val="none"/>
          <w:lang w:val="en-US" w:eastAsia="zh-CN"/>
        </w:rPr>
        <w:t>月</w:t>
      </w:r>
      <w:r>
        <w:rPr>
          <w:rFonts w:hint="eastAsia" w:asciiTheme="minorEastAsia" w:hAnsiTheme="minorEastAsia" w:eastAsiaTheme="minorEastAsia" w:cstheme="minorEastAsia"/>
          <w:sz w:val="21"/>
          <w:szCs w:val="21"/>
          <w:highlight w:val="none"/>
          <w:u w:val="single"/>
          <w:lang w:val="en-US" w:eastAsia="zh-CN"/>
        </w:rPr>
        <w:t xml:space="preserve"> 30 </w:t>
      </w:r>
      <w:r>
        <w:rPr>
          <w:rFonts w:hint="eastAsia" w:asciiTheme="minorEastAsia" w:hAnsiTheme="minorEastAsia" w:eastAsiaTheme="minorEastAsia" w:cstheme="minorEastAsia"/>
          <w:sz w:val="21"/>
          <w:szCs w:val="21"/>
          <w:highlight w:val="none"/>
          <w:lang w:val="en-US" w:eastAsia="zh-CN"/>
        </w:rPr>
        <w:t>日</w:t>
      </w:r>
      <w:r>
        <w:rPr>
          <w:rFonts w:hint="eastAsia" w:asciiTheme="minorEastAsia" w:hAnsiTheme="minorEastAsia" w:eastAsiaTheme="minorEastAsia" w:cstheme="minorEastAsia"/>
          <w:sz w:val="21"/>
          <w:szCs w:val="21"/>
          <w:highlight w:val="none"/>
          <w:u w:val="single"/>
          <w:lang w:val="en-US" w:eastAsia="zh-CN"/>
        </w:rPr>
        <w:t xml:space="preserve">  14 </w:t>
      </w:r>
      <w:r>
        <w:rPr>
          <w:rFonts w:hint="eastAsia" w:asciiTheme="minorEastAsia" w:hAnsiTheme="minorEastAsia" w:eastAsiaTheme="minorEastAsia" w:cstheme="minorEastAsia"/>
          <w:sz w:val="21"/>
          <w:szCs w:val="21"/>
          <w:highlight w:val="none"/>
          <w:lang w:val="en-US" w:eastAsia="zh-CN"/>
        </w:rPr>
        <w:t>时</w:t>
      </w:r>
      <w:r>
        <w:rPr>
          <w:rFonts w:hint="eastAsia" w:asciiTheme="minorEastAsia" w:hAnsiTheme="minorEastAsia" w:eastAsiaTheme="minorEastAsia" w:cstheme="minorEastAsia"/>
          <w:sz w:val="21"/>
          <w:szCs w:val="21"/>
          <w:highlight w:val="none"/>
          <w:u w:val="single"/>
          <w:lang w:val="en-US" w:eastAsia="zh-CN"/>
        </w:rPr>
        <w:t xml:space="preserve">  30 </w:t>
      </w:r>
      <w:r>
        <w:rPr>
          <w:rFonts w:hint="eastAsia" w:asciiTheme="minorEastAsia" w:hAnsiTheme="minorEastAsia" w:eastAsiaTheme="minorEastAsia" w:cstheme="minorEastAsia"/>
          <w:sz w:val="21"/>
          <w:szCs w:val="21"/>
          <w:highlight w:val="none"/>
          <w:lang w:val="en-US" w:eastAsia="zh-CN"/>
        </w:rPr>
        <w:t>分</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供应商的法定代表人或其授权代理人应在文件递交截止时间前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将响应文件递交</w:t>
      </w:r>
      <w:r>
        <w:rPr>
          <w:rFonts w:hint="eastAsia" w:asciiTheme="minorEastAsia" w:hAnsiTheme="minorEastAsia" w:eastAsiaTheme="minorEastAsia" w:cstheme="minorEastAsia"/>
          <w:sz w:val="21"/>
          <w:szCs w:val="21"/>
          <w:u w:val="none"/>
          <w:lang w:val="en-US" w:eastAsia="zh-CN"/>
        </w:rPr>
        <w:t>至</w:t>
      </w:r>
      <w:r>
        <w:rPr>
          <w:rFonts w:hint="eastAsia" w:asciiTheme="minorEastAsia" w:hAnsiTheme="minorEastAsia" w:eastAsiaTheme="minorEastAsia" w:cstheme="minorEastAsia"/>
          <w:kern w:val="2"/>
          <w:sz w:val="21"/>
          <w:szCs w:val="21"/>
          <w:u w:val="none"/>
        </w:rPr>
        <w:t>安徽省合肥市包河</w:t>
      </w:r>
      <w:r>
        <w:rPr>
          <w:rFonts w:hint="eastAsia" w:asciiTheme="minorEastAsia" w:hAnsiTheme="minorEastAsia" w:eastAsiaTheme="minorEastAsia" w:cstheme="minorEastAsia"/>
          <w:kern w:val="2"/>
          <w:sz w:val="21"/>
          <w:szCs w:val="21"/>
          <w:highlight w:val="none"/>
          <w:u w:val="none"/>
        </w:rPr>
        <w:t>区西藏路1</w:t>
      </w:r>
      <w:r>
        <w:rPr>
          <w:rFonts w:hint="eastAsia" w:asciiTheme="minorEastAsia" w:hAnsiTheme="minorEastAsia" w:eastAsiaTheme="minorEastAsia" w:cstheme="minorEastAsia"/>
          <w:kern w:val="2"/>
          <w:sz w:val="21"/>
          <w:szCs w:val="21"/>
          <w:highlight w:val="none"/>
          <w:u w:val="none"/>
          <w:lang w:val="en-US" w:eastAsia="zh-CN"/>
        </w:rPr>
        <w:t>588</w:t>
      </w:r>
      <w:r>
        <w:rPr>
          <w:rFonts w:hint="eastAsia" w:asciiTheme="minorEastAsia" w:hAnsiTheme="minorEastAsia" w:eastAsiaTheme="minorEastAsia" w:cstheme="minorEastAsia"/>
          <w:kern w:val="2"/>
          <w:sz w:val="21"/>
          <w:szCs w:val="21"/>
          <w:highlight w:val="none"/>
          <w:u w:val="none"/>
        </w:rPr>
        <w:t>号高</w:t>
      </w:r>
      <w:r>
        <w:rPr>
          <w:rFonts w:hint="eastAsia" w:asciiTheme="minorEastAsia" w:hAnsiTheme="minorEastAsia" w:eastAsiaTheme="minorEastAsia" w:cstheme="minorEastAsia"/>
          <w:kern w:val="2"/>
          <w:sz w:val="21"/>
          <w:szCs w:val="21"/>
          <w:u w:val="none"/>
        </w:rPr>
        <w:t>速时代广场C1栋</w:t>
      </w:r>
      <w:r>
        <w:rPr>
          <w:rFonts w:hint="eastAsia" w:asciiTheme="minorEastAsia" w:hAnsiTheme="minorEastAsia" w:eastAsiaTheme="minorEastAsia" w:cstheme="minorEastAsia"/>
          <w:kern w:val="2"/>
          <w:sz w:val="21"/>
          <w:szCs w:val="21"/>
          <w:u w:val="none"/>
          <w:lang w:val="en-US" w:eastAsia="zh-CN"/>
        </w:rPr>
        <w:t>1008</w:t>
      </w:r>
      <w:r>
        <w:rPr>
          <w:rFonts w:hint="eastAsia" w:asciiTheme="minorEastAsia" w:hAnsiTheme="minorEastAsia" w:eastAsiaTheme="minorEastAsia" w:cstheme="minorEastAsia"/>
          <w:kern w:val="2"/>
          <w:sz w:val="21"/>
          <w:szCs w:val="21"/>
          <w:u w:val="none"/>
        </w:rPr>
        <w:t>安徽</w:t>
      </w:r>
      <w:r>
        <w:rPr>
          <w:rFonts w:hint="eastAsia" w:asciiTheme="minorEastAsia" w:hAnsiTheme="minorEastAsia" w:eastAsiaTheme="minorEastAsia" w:cstheme="minorEastAsia"/>
          <w:kern w:val="2"/>
          <w:sz w:val="21"/>
          <w:szCs w:val="21"/>
          <w:u w:val="none"/>
          <w:lang w:val="en-US" w:eastAsia="zh-CN"/>
        </w:rPr>
        <w:t>省经工物资有限公司</w:t>
      </w:r>
      <w:r>
        <w:rPr>
          <w:rFonts w:hint="eastAsia" w:asciiTheme="minorEastAsia" w:hAnsiTheme="minorEastAsia" w:eastAsiaTheme="minorEastAsia" w:cstheme="minorEastAsia"/>
          <w:kern w:val="2"/>
          <w:sz w:val="21"/>
          <w:szCs w:val="21"/>
          <w:lang w:eastAsia="zh-CN"/>
        </w:rPr>
        <w:t>。</w:t>
      </w:r>
    </w:p>
    <w:p>
      <w:pPr>
        <w:pStyle w:val="5"/>
        <w:snapToGrid w:val="0"/>
        <w:spacing w:before="120" w:after="120" w:line="240" w:lineRule="auto"/>
        <w:ind w:firstLine="403"/>
        <w:rPr>
          <w:rFonts w:hint="eastAsia" w:ascii="Times New Roman" w:hAnsi="Times New Roman" w:eastAsia="黑体" w:cs="Times New Roman"/>
          <w:b w:val="0"/>
          <w:sz w:val="22"/>
          <w:szCs w:val="15"/>
        </w:rPr>
      </w:pPr>
      <w:r>
        <w:rPr>
          <w:rFonts w:hint="eastAsia" w:ascii="Times New Roman" w:hAnsi="Times New Roman" w:eastAsia="黑体" w:cs="Times New Roman"/>
          <w:b w:val="0"/>
          <w:sz w:val="22"/>
          <w:szCs w:val="15"/>
        </w:rPr>
        <w:t>响应文件启封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
          <w:bCs/>
          <w:szCs w:val="22"/>
          <w:highlight w:val="none"/>
          <w:lang w:val="en-US" w:eastAsia="zh-CN"/>
        </w:rPr>
      </w:pPr>
      <w:r>
        <w:rPr>
          <w:rFonts w:ascii="Times New Roman" w:hAnsi="Times New Roman" w:cs="Times New Roman"/>
          <w:szCs w:val="22"/>
          <w:highlight w:val="none"/>
        </w:rPr>
        <w:t>响应文件的递交截止时间到后，采购人将于</w:t>
      </w:r>
      <w:r>
        <w:rPr>
          <w:rFonts w:hint="eastAsia" w:ascii="Times New Roman" w:hAnsi="Times New Roman" w:cs="Times New Roman"/>
          <w:szCs w:val="22"/>
          <w:highlight w:val="none"/>
          <w:u w:val="single"/>
        </w:rPr>
        <w:t>安徽省合肥市包河区西藏路1</w:t>
      </w:r>
      <w:r>
        <w:rPr>
          <w:rFonts w:hint="eastAsia" w:ascii="Times New Roman" w:hAnsi="Times New Roman" w:cs="Times New Roman"/>
          <w:szCs w:val="22"/>
          <w:highlight w:val="none"/>
          <w:u w:val="single"/>
          <w:lang w:val="en-US" w:eastAsia="zh-CN"/>
        </w:rPr>
        <w:t>588</w:t>
      </w:r>
      <w:r>
        <w:rPr>
          <w:rFonts w:hint="eastAsia" w:ascii="Times New Roman" w:hAnsi="Times New Roman" w:cs="Times New Roman"/>
          <w:szCs w:val="22"/>
          <w:highlight w:val="none"/>
          <w:u w:val="single"/>
        </w:rPr>
        <w:t>号高速时代广场C1栋</w:t>
      </w:r>
      <w:r>
        <w:rPr>
          <w:rFonts w:hint="eastAsia" w:ascii="Times New Roman" w:hAnsi="Times New Roman" w:cs="Times New Roman"/>
          <w:szCs w:val="22"/>
          <w:highlight w:val="none"/>
          <w:u w:val="single"/>
          <w:lang w:val="en-US" w:eastAsia="zh-CN"/>
        </w:rPr>
        <w:t>1008</w:t>
      </w:r>
      <w:r>
        <w:rPr>
          <w:rFonts w:hint="eastAsia" w:ascii="Times New Roman" w:hAnsi="Times New Roman" w:cs="Times New Roman" w:eastAsiaTheme="minorEastAsia"/>
          <w:kern w:val="2"/>
          <w:sz w:val="21"/>
          <w:szCs w:val="22"/>
          <w:highlight w:val="none"/>
          <w:u w:val="single"/>
        </w:rPr>
        <w:t>安徽</w:t>
      </w:r>
      <w:r>
        <w:rPr>
          <w:rFonts w:hint="eastAsia" w:ascii="Times New Roman" w:hAnsi="Times New Roman" w:cs="Times New Roman" w:eastAsiaTheme="minorEastAsia"/>
          <w:kern w:val="2"/>
          <w:sz w:val="21"/>
          <w:szCs w:val="22"/>
          <w:highlight w:val="none"/>
          <w:u w:val="single"/>
          <w:lang w:val="en-US" w:eastAsia="zh-CN"/>
        </w:rPr>
        <w:t>省经工物资有限公司</w:t>
      </w:r>
      <w:r>
        <w:rPr>
          <w:rFonts w:ascii="Times New Roman" w:hAnsi="Times New Roman" w:cs="Times New Roman"/>
          <w:szCs w:val="22"/>
          <w:highlight w:val="none"/>
        </w:rPr>
        <w:t>（地点）</w:t>
      </w:r>
      <w:r>
        <w:rPr>
          <w:rFonts w:hint="eastAsia" w:ascii="Times New Roman" w:hAnsi="Times New Roman" w:cs="Times New Roman"/>
          <w:szCs w:val="22"/>
          <w:highlight w:val="none"/>
        </w:rPr>
        <w:t>现场</w:t>
      </w:r>
      <w:r>
        <w:rPr>
          <w:rFonts w:ascii="Times New Roman" w:hAnsi="Times New Roman" w:cs="Times New Roman"/>
          <w:szCs w:val="22"/>
          <w:highlight w:val="none"/>
        </w:rPr>
        <w:t>组织进行响应文件的启</w:t>
      </w:r>
      <w:r>
        <w:rPr>
          <w:rFonts w:hint="eastAsia" w:ascii="Times New Roman" w:hAnsi="Times New Roman" w:cs="Times New Roman"/>
          <w:szCs w:val="22"/>
          <w:highlight w:val="none"/>
        </w:rPr>
        <w:t>封。</w:t>
      </w:r>
      <w:r>
        <w:rPr>
          <w:rFonts w:hint="eastAsia" w:ascii="Times New Roman" w:hAnsi="Times New Roman" w:cs="Times New Roman"/>
          <w:b/>
          <w:bCs/>
          <w:szCs w:val="22"/>
          <w:highlight w:val="none"/>
          <w:lang w:val="en-US" w:eastAsia="zh-CN"/>
        </w:rPr>
        <w:t>供应商的法定代表人或授权代理人应携带本人身份证，授权代理人应手持授权委托书准时参加启封会议。</w:t>
      </w:r>
    </w:p>
    <w:p>
      <w:pPr>
        <w:pStyle w:val="5"/>
        <w:snapToGrid w:val="0"/>
        <w:spacing w:before="120" w:after="120" w:line="240" w:lineRule="auto"/>
        <w:ind w:firstLine="403"/>
        <w:rPr>
          <w:rFonts w:hint="eastAsia" w:ascii="Times New Roman" w:hAnsi="Times New Roman" w:eastAsia="黑体" w:cs="Times New Roman"/>
          <w:b w:val="0"/>
          <w:sz w:val="22"/>
          <w:szCs w:val="15"/>
        </w:rPr>
      </w:pPr>
      <w:r>
        <w:rPr>
          <w:rFonts w:hint="eastAsia" w:ascii="Times New Roman" w:hAnsi="Times New Roman" w:eastAsia="黑体" w:cs="Times New Roman"/>
          <w:b w:val="0"/>
          <w:sz w:val="22"/>
          <w:szCs w:val="15"/>
        </w:rPr>
        <w:t>响应保证金</w:t>
      </w:r>
    </w:p>
    <w:p>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响应保证金的金额：</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本项目响应保证金：</w:t>
      </w:r>
      <w:r>
        <w:rPr>
          <w:rFonts w:hint="eastAsia" w:ascii="宋体" w:hAnsi="宋体" w:eastAsia="宋体" w:cs="宋体"/>
          <w:b/>
          <w:bCs/>
          <w:kern w:val="2"/>
          <w:sz w:val="21"/>
          <w:szCs w:val="21"/>
          <w:highlight w:val="none"/>
          <w:u w:val="single"/>
          <w:lang w:val="en-US" w:eastAsia="zh-CN"/>
        </w:rPr>
        <w:t xml:space="preserve"> </w:t>
      </w:r>
      <w:r>
        <w:rPr>
          <w:rFonts w:hint="eastAsia" w:cs="宋体"/>
          <w:b/>
          <w:bCs/>
          <w:kern w:val="2"/>
          <w:sz w:val="21"/>
          <w:szCs w:val="21"/>
          <w:highlight w:val="none"/>
          <w:u w:val="single"/>
          <w:lang w:val="en-US" w:eastAsia="zh-CN"/>
        </w:rPr>
        <w:t>10000</w:t>
      </w:r>
      <w:r>
        <w:rPr>
          <w:rFonts w:hint="eastAsia" w:ascii="宋体" w:hAnsi="宋体" w:eastAsia="宋体" w:cs="宋体"/>
          <w:b/>
          <w:bCs/>
          <w:kern w:val="2"/>
          <w:sz w:val="21"/>
          <w:szCs w:val="21"/>
          <w:highlight w:val="none"/>
          <w:u w:val="single"/>
          <w:lang w:val="en-US" w:eastAsia="zh-CN"/>
        </w:rPr>
        <w:t xml:space="preserve"> </w:t>
      </w:r>
      <w:r>
        <w:rPr>
          <w:rFonts w:hint="eastAsia" w:ascii="宋体" w:hAnsi="宋体" w:eastAsia="宋体" w:cs="宋体"/>
          <w:b/>
          <w:bCs/>
          <w:kern w:val="2"/>
          <w:sz w:val="21"/>
          <w:szCs w:val="21"/>
          <w:highlight w:val="none"/>
        </w:rPr>
        <w:t>元（大写：</w:t>
      </w:r>
      <w:r>
        <w:rPr>
          <w:rFonts w:hint="eastAsia" w:cs="宋体"/>
          <w:b/>
          <w:bCs/>
          <w:kern w:val="2"/>
          <w:sz w:val="21"/>
          <w:szCs w:val="21"/>
          <w:highlight w:val="none"/>
          <w:u w:val="single"/>
          <w:lang w:val="en-US" w:eastAsia="zh-CN"/>
        </w:rPr>
        <w:t xml:space="preserve"> 壹万元整</w:t>
      </w:r>
      <w:r>
        <w:rPr>
          <w:rFonts w:hint="eastAsia" w:ascii="宋体" w:hAnsi="宋体" w:eastAsia="宋体" w:cs="宋体"/>
          <w:b/>
          <w:bCs/>
          <w:kern w:val="2"/>
          <w:sz w:val="21"/>
          <w:szCs w:val="21"/>
          <w:highlight w:val="none"/>
          <w:u w:val="single"/>
          <w:lang w:val="en-US" w:eastAsia="zh-CN"/>
        </w:rPr>
        <w:t xml:space="preserve">  </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bCs/>
          <w:kern w:val="2"/>
          <w:sz w:val="21"/>
          <w:szCs w:val="21"/>
          <w:highlight w:val="none"/>
        </w:rPr>
        <w:t>）。</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sz w:val="21"/>
          <w:szCs w:val="21"/>
          <w:highlight w:val="none"/>
        </w:rPr>
      </w:pPr>
      <w:r>
        <w:rPr>
          <w:rFonts w:hint="eastAsia" w:ascii="宋体" w:hAnsi="宋体" w:eastAsia="宋体" w:cs="宋体"/>
          <w:kern w:val="2"/>
          <w:sz w:val="21"/>
          <w:szCs w:val="21"/>
          <w:highlight w:val="none"/>
        </w:rPr>
        <w:t>报价方应向询价方以下账户递交询价响应保证金，以转账方式从报价方账户转出</w:t>
      </w:r>
      <w:r>
        <w:rPr>
          <w:rFonts w:hint="eastAsia" w:ascii="宋体" w:hAnsi="宋体" w:eastAsia="宋体" w:cs="宋体"/>
          <w:b w:val="0"/>
          <w:bCs w:val="0"/>
          <w:kern w:val="2"/>
          <w:sz w:val="21"/>
          <w:szCs w:val="21"/>
          <w:highlight w:val="none"/>
        </w:rPr>
        <w:t>，</w:t>
      </w:r>
      <w:r>
        <w:rPr>
          <w:rFonts w:hint="eastAsia" w:ascii="宋体" w:hAnsi="宋体" w:eastAsia="宋体" w:cs="宋体"/>
          <w:b/>
          <w:bCs/>
          <w:kern w:val="2"/>
          <w:sz w:val="21"/>
          <w:szCs w:val="21"/>
          <w:highlight w:val="none"/>
        </w:rPr>
        <w:t>并将银行的电子回执单作为其响应文件的组成部分。</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rPr>
        <w:t>户名：安徽</w:t>
      </w:r>
      <w:r>
        <w:rPr>
          <w:rFonts w:hint="eastAsia" w:ascii="宋体" w:hAnsi="宋体" w:eastAsia="宋体" w:cs="宋体"/>
          <w:b/>
          <w:bCs/>
          <w:kern w:val="2"/>
          <w:sz w:val="21"/>
          <w:szCs w:val="21"/>
          <w:lang w:val="en-US" w:eastAsia="zh-CN"/>
        </w:rPr>
        <w:t>省经工物</w:t>
      </w:r>
      <w:r>
        <w:rPr>
          <w:rFonts w:hint="eastAsia" w:cs="宋体"/>
          <w:b/>
          <w:bCs/>
          <w:kern w:val="2"/>
          <w:sz w:val="21"/>
          <w:szCs w:val="21"/>
          <w:lang w:val="en-US" w:eastAsia="zh-CN"/>
        </w:rPr>
        <w:t>资</w:t>
      </w:r>
      <w:r>
        <w:rPr>
          <w:rFonts w:hint="eastAsia" w:ascii="宋体" w:hAnsi="宋体" w:eastAsia="宋体" w:cs="宋体"/>
          <w:b/>
          <w:bCs/>
          <w:kern w:val="2"/>
          <w:sz w:val="21"/>
          <w:szCs w:val="21"/>
          <w:lang w:val="en-US" w:eastAsia="zh-CN"/>
        </w:rPr>
        <w:t>有限公司</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开户银行</w:t>
      </w:r>
      <w:r>
        <w:rPr>
          <w:rFonts w:hint="eastAsia" w:ascii="宋体" w:hAnsi="宋体" w:eastAsia="宋体" w:cs="宋体"/>
          <w:b/>
          <w:bCs/>
          <w:kern w:val="2"/>
          <w:sz w:val="21"/>
          <w:szCs w:val="21"/>
        </w:rPr>
        <w:t>：</w:t>
      </w:r>
      <w:r>
        <w:rPr>
          <w:rFonts w:hint="eastAsia" w:ascii="宋体" w:hAnsi="宋体" w:eastAsia="宋体" w:cs="宋体"/>
          <w:b/>
          <w:bCs/>
          <w:kern w:val="2"/>
          <w:sz w:val="21"/>
          <w:szCs w:val="21"/>
          <w:lang w:val="en-US" w:eastAsia="zh-CN"/>
        </w:rPr>
        <w:t>工行合肥</w:t>
      </w:r>
      <w:r>
        <w:rPr>
          <w:rFonts w:hint="eastAsia" w:cs="宋体"/>
          <w:b/>
          <w:bCs/>
          <w:kern w:val="2"/>
          <w:sz w:val="21"/>
          <w:szCs w:val="21"/>
          <w:lang w:val="en-US" w:eastAsia="zh-CN"/>
        </w:rPr>
        <w:t>银河</w:t>
      </w:r>
      <w:bookmarkStart w:id="157" w:name="_GoBack"/>
      <w:bookmarkEnd w:id="157"/>
      <w:r>
        <w:rPr>
          <w:rFonts w:hint="eastAsia" w:ascii="宋体" w:hAnsi="宋体" w:eastAsia="宋体" w:cs="宋体"/>
          <w:b/>
          <w:bCs/>
          <w:kern w:val="2"/>
          <w:sz w:val="21"/>
          <w:szCs w:val="21"/>
          <w:lang w:val="en-US" w:eastAsia="zh-CN"/>
        </w:rPr>
        <w:t>支行</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rPr>
        <w:t>账号：</w:t>
      </w:r>
      <w:r>
        <w:rPr>
          <w:rFonts w:hint="eastAsia" w:ascii="宋体" w:hAnsi="宋体" w:eastAsia="宋体" w:cs="宋体"/>
          <w:b/>
          <w:bCs/>
          <w:kern w:val="2"/>
          <w:sz w:val="21"/>
          <w:szCs w:val="21"/>
          <w:lang w:val="en-US" w:eastAsia="zh-CN"/>
        </w:rPr>
        <w:t xml:space="preserve">1302 </w:t>
      </w:r>
      <w:r>
        <w:rPr>
          <w:rFonts w:hint="eastAsia" w:cs="宋体"/>
          <w:b/>
          <w:bCs/>
          <w:kern w:val="2"/>
          <w:sz w:val="21"/>
          <w:szCs w:val="21"/>
          <w:lang w:val="en-US" w:eastAsia="zh-CN"/>
        </w:rPr>
        <w:t>0121</w:t>
      </w:r>
      <w:r>
        <w:rPr>
          <w:rFonts w:hint="eastAsia" w:ascii="宋体" w:hAnsi="宋体" w:eastAsia="宋体" w:cs="宋体"/>
          <w:b/>
          <w:bCs/>
          <w:kern w:val="2"/>
          <w:sz w:val="21"/>
          <w:szCs w:val="21"/>
          <w:lang w:val="en-US" w:eastAsia="zh-CN"/>
        </w:rPr>
        <w:t xml:space="preserve"> 1</w:t>
      </w:r>
      <w:r>
        <w:rPr>
          <w:rFonts w:hint="eastAsia" w:cs="宋体"/>
          <w:b/>
          <w:bCs/>
          <w:kern w:val="2"/>
          <w:sz w:val="21"/>
          <w:szCs w:val="21"/>
          <w:lang w:val="en-US" w:eastAsia="zh-CN"/>
        </w:rPr>
        <w:t>920</w:t>
      </w:r>
      <w:r>
        <w:rPr>
          <w:rFonts w:hint="eastAsia" w:ascii="宋体" w:hAnsi="宋体" w:eastAsia="宋体" w:cs="宋体"/>
          <w:b/>
          <w:bCs/>
          <w:kern w:val="2"/>
          <w:sz w:val="21"/>
          <w:szCs w:val="21"/>
          <w:lang w:val="en-US" w:eastAsia="zh-CN"/>
        </w:rPr>
        <w:t xml:space="preserve"> 00</w:t>
      </w:r>
      <w:r>
        <w:rPr>
          <w:rFonts w:hint="eastAsia" w:cs="宋体"/>
          <w:b/>
          <w:bCs/>
          <w:kern w:val="2"/>
          <w:sz w:val="21"/>
          <w:szCs w:val="21"/>
          <w:lang w:val="en-US" w:eastAsia="zh-CN"/>
        </w:rPr>
        <w:t>34</w:t>
      </w:r>
      <w:r>
        <w:rPr>
          <w:rFonts w:hint="eastAsia" w:ascii="宋体" w:hAnsi="宋体" w:eastAsia="宋体" w:cs="宋体"/>
          <w:b/>
          <w:bCs/>
          <w:kern w:val="2"/>
          <w:sz w:val="21"/>
          <w:szCs w:val="21"/>
          <w:lang w:val="en-US" w:eastAsia="zh-CN"/>
        </w:rPr>
        <w:t xml:space="preserve"> 038</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汇款或转账时，报价方必须在付款凭证备注栏中注明</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 xml:space="preserve"> 合安中心新建收费站厨房设备采购</w:t>
      </w:r>
      <w:r>
        <w:rPr>
          <w:rFonts w:hint="eastAsia" w:ascii="宋体" w:hAnsi="宋体" w:eastAsia="宋体" w:cs="宋体"/>
          <w:b/>
          <w:bCs/>
          <w:sz w:val="21"/>
          <w:szCs w:val="21"/>
          <w:highlight w:val="none"/>
          <w:u w:val="single"/>
        </w:rPr>
        <w:t>”</w:t>
      </w:r>
      <w:r>
        <w:rPr>
          <w:rFonts w:hint="eastAsia" w:ascii="宋体" w:hAnsi="宋体" w:eastAsia="宋体" w:cs="宋体"/>
          <w:sz w:val="21"/>
          <w:szCs w:val="21"/>
        </w:rPr>
        <w:t>字样。保证金备注栏中必须明确所参与具体标段名称，因报价方未备注或错误备注而导致不能及时查验到账的，责任由报价方承担。若采用电汇（转账）形式，询价响应保证金必须由报价方的账户一次性汇入本询价文件所示账户，并在</w:t>
      </w:r>
      <w:r>
        <w:rPr>
          <w:rFonts w:hint="eastAsia" w:ascii="宋体" w:hAnsi="宋体" w:eastAsia="宋体" w:cs="宋体"/>
          <w:b/>
          <w:bCs/>
          <w:sz w:val="21"/>
          <w:szCs w:val="21"/>
          <w:highlight w:val="none"/>
          <w:u w:val="single"/>
        </w:rPr>
        <w:t>投标截止时间前一个小时到账，否则无效</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p>
    <w:p>
      <w:pPr>
        <w:pStyle w:val="5"/>
        <w:snapToGrid w:val="0"/>
        <w:spacing w:before="120" w:after="120" w:line="240" w:lineRule="auto"/>
        <w:ind w:firstLine="403"/>
        <w:rPr>
          <w:rFonts w:hint="eastAsia" w:ascii="Times New Roman" w:hAnsi="Times New Roman" w:eastAsia="黑体" w:cs="Times New Roman"/>
          <w:b w:val="0"/>
          <w:sz w:val="22"/>
          <w:szCs w:val="15"/>
        </w:rPr>
      </w:pPr>
      <w:r>
        <w:rPr>
          <w:rFonts w:hint="eastAsia" w:ascii="Times New Roman" w:hAnsi="Times New Roman" w:eastAsia="黑体" w:cs="Times New Roman"/>
          <w:b w:val="0"/>
          <w:sz w:val="22"/>
          <w:szCs w:val="15"/>
        </w:rPr>
        <w:t>发布公告的媒介</w:t>
      </w:r>
      <w:bookmarkEnd w:id="35"/>
      <w:bookmarkEnd w:id="36"/>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本次采购公告在</w:t>
      </w:r>
      <w:r>
        <w:rPr>
          <w:rFonts w:hint="eastAsia" w:ascii="宋体" w:hAnsi="宋体" w:eastAsia="宋体" w:cs="宋体"/>
          <w:b/>
          <w:bCs/>
          <w:sz w:val="21"/>
          <w:szCs w:val="21"/>
          <w:u w:val="single"/>
        </w:rPr>
        <w:t>“安徽</w:t>
      </w:r>
      <w:r>
        <w:rPr>
          <w:rFonts w:hint="eastAsia" w:ascii="宋体" w:hAnsi="宋体" w:eastAsia="宋体" w:cs="宋体"/>
          <w:b/>
          <w:bCs/>
          <w:sz w:val="21"/>
          <w:szCs w:val="21"/>
          <w:u w:val="single"/>
          <w:lang w:val="en-US" w:eastAsia="zh-CN"/>
        </w:rPr>
        <w:t>省经工建设集团有限公司</w:t>
      </w:r>
      <w:r>
        <w:rPr>
          <w:rFonts w:hint="eastAsia" w:ascii="宋体" w:hAnsi="宋体" w:eastAsia="宋体" w:cs="宋体"/>
          <w:b/>
          <w:bCs/>
          <w:sz w:val="21"/>
          <w:szCs w:val="21"/>
          <w:u w:val="single"/>
        </w:rPr>
        <w:t>网站（https://www.ahjggroup.com/）“</w:t>
      </w:r>
      <w:r>
        <w:rPr>
          <w:rFonts w:hint="eastAsia" w:ascii="宋体" w:hAnsi="宋体" w:eastAsia="宋体" w:cs="宋体"/>
          <w:b/>
          <w:bCs/>
          <w:sz w:val="21"/>
          <w:szCs w:val="21"/>
          <w:u w:val="single"/>
          <w:lang w:val="en-US" w:eastAsia="zh-CN"/>
        </w:rPr>
        <w:t>通知公告</w:t>
      </w:r>
      <w:r>
        <w:rPr>
          <w:rFonts w:hint="eastAsia" w:ascii="宋体" w:hAnsi="宋体" w:eastAsia="宋体" w:cs="宋体"/>
          <w:b/>
          <w:bCs/>
          <w:sz w:val="21"/>
          <w:szCs w:val="21"/>
          <w:u w:val="single"/>
        </w:rPr>
        <w:t>”栏</w:t>
      </w:r>
      <w:r>
        <w:rPr>
          <w:rFonts w:hint="eastAsia" w:ascii="宋体" w:hAnsi="宋体" w:eastAsia="宋体" w:cs="宋体"/>
          <w:sz w:val="21"/>
          <w:szCs w:val="21"/>
        </w:rPr>
        <w:t>上发布。</w:t>
      </w:r>
    </w:p>
    <w:p>
      <w:pPr>
        <w:pStyle w:val="5"/>
        <w:snapToGrid w:val="0"/>
        <w:spacing w:before="120" w:after="120" w:line="240" w:lineRule="auto"/>
        <w:ind w:firstLine="403"/>
        <w:rPr>
          <w:rFonts w:hint="eastAsia" w:ascii="宋体" w:hAnsi="宋体" w:eastAsia="宋体" w:cs="宋体"/>
          <w:b w:val="0"/>
          <w:sz w:val="21"/>
          <w:szCs w:val="21"/>
        </w:rPr>
      </w:pPr>
      <w:bookmarkStart w:id="37" w:name="_Toc8501"/>
      <w:bookmarkStart w:id="38" w:name="_Toc28571_WPSOffice_Level2"/>
      <w:bookmarkStart w:id="39" w:name="_Toc525632592"/>
      <w:bookmarkStart w:id="40" w:name="_Toc20572_WPSOffice_Level2"/>
      <w:bookmarkStart w:id="41" w:name="_Toc321_WPSOffice_Level2"/>
      <w:bookmarkStart w:id="42" w:name="_Toc14943_WPSOffice_Level2"/>
      <w:bookmarkStart w:id="43" w:name="_Toc26829"/>
      <w:r>
        <w:rPr>
          <w:rFonts w:hint="eastAsia" w:ascii="Times New Roman" w:hAnsi="Times New Roman" w:eastAsia="黑体" w:cs="Times New Roman"/>
          <w:b w:val="0"/>
          <w:sz w:val="22"/>
          <w:szCs w:val="15"/>
        </w:rPr>
        <w:t>采购人联系方式</w:t>
      </w:r>
      <w:bookmarkEnd w:id="37"/>
      <w:bookmarkEnd w:id="38"/>
      <w:bookmarkEnd w:id="39"/>
      <w:bookmarkEnd w:id="40"/>
      <w:bookmarkEnd w:id="41"/>
      <w:bookmarkEnd w:id="42"/>
      <w:bookmarkEnd w:id="43"/>
      <w:r>
        <w:rPr>
          <w:rFonts w:hint="eastAsia" w:ascii="Times New Roman" w:hAnsi="Times New Roman" w:eastAsia="黑体" w:cs="Times New Roman"/>
          <w:b w:val="0"/>
          <w:sz w:val="22"/>
          <w:szCs w:val="15"/>
          <w:lang w:val="en-US" w:eastAsia="zh-CN"/>
        </w:rPr>
        <w:t xml:space="preserve">     </w:t>
      </w:r>
      <w:r>
        <w:rPr>
          <w:rFonts w:hint="eastAsia" w:ascii="宋体" w:hAnsi="宋体" w:eastAsia="宋体" w:cs="宋体"/>
          <w:b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 购 人：</w:t>
      </w:r>
      <w:r>
        <w:rPr>
          <w:rFonts w:hint="eastAsia" w:ascii="宋体" w:hAnsi="宋体" w:eastAsia="宋体" w:cs="宋体"/>
          <w:kern w:val="2"/>
          <w:sz w:val="21"/>
          <w:szCs w:val="21"/>
        </w:rPr>
        <w:t>安徽</w:t>
      </w:r>
      <w:r>
        <w:rPr>
          <w:rFonts w:hint="eastAsia" w:ascii="宋体" w:hAnsi="宋体" w:eastAsia="宋体" w:cs="宋体"/>
          <w:kern w:val="2"/>
          <w:sz w:val="21"/>
          <w:szCs w:val="21"/>
          <w:lang w:val="en-US" w:eastAsia="zh-CN"/>
        </w:rPr>
        <w:t>省经工物资有限公司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kern w:val="2"/>
          <w:sz w:val="21"/>
          <w:szCs w:val="21"/>
        </w:rPr>
        <w:t>安徽省合肥市包河区西藏路</w:t>
      </w: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588</w:t>
      </w:r>
      <w:r>
        <w:rPr>
          <w:rFonts w:hint="eastAsia" w:ascii="宋体" w:hAnsi="宋体" w:eastAsia="宋体" w:cs="宋体"/>
          <w:kern w:val="2"/>
          <w:sz w:val="21"/>
          <w:szCs w:val="21"/>
          <w:highlight w:val="none"/>
        </w:rPr>
        <w:t>号高</w:t>
      </w:r>
      <w:r>
        <w:rPr>
          <w:rFonts w:hint="eastAsia" w:ascii="宋体" w:hAnsi="宋体" w:eastAsia="宋体" w:cs="宋体"/>
          <w:kern w:val="2"/>
          <w:sz w:val="21"/>
          <w:szCs w:val="21"/>
        </w:rPr>
        <w:t>速时代广场C1栋</w:t>
      </w:r>
      <w:r>
        <w:rPr>
          <w:rFonts w:hint="eastAsia" w:ascii="宋体" w:hAnsi="宋体" w:eastAsia="宋体" w:cs="宋体"/>
          <w:kern w:val="2"/>
          <w:sz w:val="21"/>
          <w:szCs w:val="21"/>
          <w:lang w:val="en-US" w:eastAsia="zh-CN"/>
        </w:rPr>
        <w:t>1008室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sz w:val="21"/>
          <w:szCs w:val="21"/>
          <w:u w:val="single"/>
          <w:lang w:val="en-US" w:eastAsia="zh-CN"/>
        </w:rPr>
        <w:t xml:space="preserve">    周工、方工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电    话：</w:t>
      </w:r>
      <w:r>
        <w:rPr>
          <w:rFonts w:hint="eastAsia" w:ascii="宋体" w:hAnsi="宋体" w:eastAsia="宋体" w:cs="宋体"/>
          <w:sz w:val="21"/>
          <w:szCs w:val="21"/>
          <w:u w:val="single"/>
          <w:lang w:val="en-US" w:eastAsia="zh-CN"/>
        </w:rPr>
        <w:t xml:space="preserve">  15855127123、15256002215</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3"/>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br w:type="page"/>
      </w:r>
    </w:p>
    <w:p>
      <w:pPr>
        <w:pStyle w:val="4"/>
        <w:spacing w:before="312" w:after="312"/>
        <w:rPr>
          <w:rFonts w:ascii="Times New Roman" w:hAnsi="Times New Roman" w:eastAsia="宋体" w:cs="Times New Roman"/>
        </w:rPr>
      </w:pPr>
      <w:bookmarkStart w:id="44" w:name="_Toc23591"/>
      <w:r>
        <w:rPr>
          <w:rFonts w:ascii="Times New Roman" w:hAnsi="Times New Roman" w:eastAsia="宋体" w:cs="Times New Roman"/>
        </w:rPr>
        <w:t>供应商须知</w:t>
      </w:r>
      <w:bookmarkEnd w:id="44"/>
    </w:p>
    <w:p>
      <w:pPr>
        <w:spacing w:line="440" w:lineRule="exact"/>
        <w:jc w:val="center"/>
        <w:outlineLvl w:val="1"/>
        <w:rPr>
          <w:rFonts w:ascii="Times New Roman" w:hAnsi="Times New Roman" w:eastAsia="黑体" w:cs="Times New Roman"/>
          <w:sz w:val="28"/>
          <w:szCs w:val="28"/>
        </w:rPr>
      </w:pPr>
      <w:bookmarkStart w:id="45" w:name="_Toc55466811"/>
      <w:bookmarkStart w:id="46" w:name="_Toc19501"/>
      <w:bookmarkStart w:id="47" w:name="_Toc16069"/>
      <w:bookmarkStart w:id="48" w:name="_Toc26656928"/>
      <w:bookmarkStart w:id="49" w:name="_Toc29381_WPSOffice_Level2"/>
      <w:r>
        <w:rPr>
          <w:rFonts w:ascii="Times New Roman" w:hAnsi="Times New Roman" w:eastAsia="黑体" w:cs="Times New Roman"/>
          <w:sz w:val="28"/>
          <w:szCs w:val="28"/>
        </w:rPr>
        <w:t>供应商须知前附表</w:t>
      </w:r>
      <w:bookmarkEnd w:id="45"/>
      <w:bookmarkEnd w:id="46"/>
      <w:bookmarkEnd w:id="47"/>
      <w:bookmarkEnd w:id="48"/>
      <w:bookmarkEnd w:id="49"/>
    </w:p>
    <w:tbl>
      <w:tblPr>
        <w:tblStyle w:val="20"/>
        <w:tblW w:w="9181" w:type="dxa"/>
        <w:tblInd w:w="0" w:type="dxa"/>
        <w:tblLayout w:type="fixed"/>
        <w:tblCellMar>
          <w:top w:w="0" w:type="dxa"/>
          <w:left w:w="108" w:type="dxa"/>
          <w:bottom w:w="0" w:type="dxa"/>
          <w:right w:w="108" w:type="dxa"/>
        </w:tblCellMar>
      </w:tblPr>
      <w:tblGrid>
        <w:gridCol w:w="1000"/>
        <w:gridCol w:w="2572"/>
        <w:gridCol w:w="5609"/>
      </w:tblGrid>
      <w:tr>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采购公告/采购邀请书第3.1款要求。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供应商</w:t>
            </w:r>
            <w:r>
              <w:rPr>
                <w:rFonts w:hint="eastAsia" w:ascii="Times New Roman" w:hAnsi="Times New Roman" w:eastAsia="宋体" w:cs="Times New Roman"/>
                <w:szCs w:val="21"/>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rPr>
            </w:pPr>
            <w:r>
              <w:rPr>
                <w:rFonts w:hint="eastAsia" w:ascii="Times New Roman" w:hAnsi="Times New Roman" w:eastAsia="宋体" w:cs="Times New Roman"/>
                <w:szCs w:val="21"/>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highlight w:val="none"/>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pPr>
              <w:spacing w:line="480" w:lineRule="exact"/>
              <w:rPr>
                <w:rFonts w:ascii="Times New Roman" w:hAnsi="Times New Roman" w:eastAsia="宋体" w:cs="Times New Roman"/>
                <w:szCs w:val="21"/>
              </w:rPr>
            </w:pPr>
            <w:r>
              <w:rPr>
                <w:rFonts w:hint="eastAsia"/>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eastAsia" w:ascii="宋体" w:hAnsi="宋体" w:eastAsia="宋体" w:cs="宋体"/>
                <w:sz w:val="22"/>
                <w:szCs w:val="22"/>
              </w:rPr>
              <w:t>报</w:t>
            </w:r>
            <w:r>
              <w:rPr>
                <w:rFonts w:hint="eastAsia" w:ascii="宋体" w:hAnsi="宋体" w:eastAsia="宋体" w:cs="宋体"/>
                <w:sz w:val="21"/>
                <w:szCs w:val="21"/>
              </w:rPr>
              <w:t>价方出现以下情形的，其询价响应保证金将不予退还：</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报价方在规定的响应有效期内撤销其响应文件</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rPr>
            </w:pPr>
            <w:r>
              <w:rPr>
                <w:rFonts w:hint="eastAsia" w:ascii="Times New Roman" w:hAnsi="Times New Roman" w:cs="Times New Roman"/>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u w:val="single"/>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正副本内容不一致时，以正本为准。（需密封，电子版文件随文件正本提交</w:t>
            </w:r>
            <w:r>
              <w:rPr>
                <w:rFonts w:hint="eastAsia" w:ascii="仿宋_GB2312" w:hAnsi="仿宋_GB2312" w:eastAsia="仿宋_GB2312" w:cs="仿宋_GB2312"/>
                <w:color w:val="000000"/>
                <w:kern w:val="0"/>
                <w:sz w:val="24"/>
                <w:szCs w:val="24"/>
                <w:highlight w:val="none"/>
                <w:lang w:val="en-US" w:eastAsia="zh-CN" w:bidi="ar"/>
              </w:rPr>
              <w:t>）</w:t>
            </w:r>
          </w:p>
        </w:tc>
      </w:tr>
      <w:tr>
        <w:tblPrEx>
          <w:tblCellMar>
            <w:top w:w="0" w:type="dxa"/>
            <w:left w:w="108" w:type="dxa"/>
            <w:bottom w:w="0" w:type="dxa"/>
            <w:right w:w="108" w:type="dxa"/>
          </w:tblCellMar>
        </w:tblPrEx>
        <w:trPr>
          <w:trHeight w:val="567" w:hRule="atLeast"/>
        </w:trPr>
        <w:tc>
          <w:tcPr>
            <w:tcW w:w="1000" w:type="dxa"/>
            <w:vMerge w:val="restart"/>
            <w:tcBorders>
              <w:top w:val="single" w:color="auto" w:sz="4" w:space="0"/>
              <w:left w:val="single" w:color="auto" w:sz="4" w:space="0"/>
              <w:right w:val="single" w:color="auto" w:sz="4" w:space="0"/>
            </w:tcBorders>
            <w:vAlign w:val="center"/>
          </w:tcPr>
          <w:p>
            <w:pPr>
              <w:spacing w:line="48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4.1</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r>
              <w:rPr>
                <w:rFonts w:hint="eastAsia" w:ascii="Times New Roman" w:hAnsi="Times New Roman" w:cs="Times New Roman"/>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yellow"/>
              </w:rPr>
            </w:pPr>
            <w:r>
              <w:rPr>
                <w:rFonts w:ascii="Times New Roman" w:hAnsi="Times New Roman" w:cs="Times New Roman"/>
              </w:rPr>
              <w:t>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tc>
      </w:tr>
      <w:tr>
        <w:tblPrEx>
          <w:tblCellMar>
            <w:top w:w="0" w:type="dxa"/>
            <w:left w:w="108" w:type="dxa"/>
            <w:bottom w:w="0" w:type="dxa"/>
            <w:right w:w="108" w:type="dxa"/>
          </w:tblCellMar>
        </w:tblPrEx>
        <w:trPr>
          <w:trHeight w:val="567" w:hRule="atLeast"/>
        </w:trPr>
        <w:tc>
          <w:tcPr>
            <w:tcW w:w="1000" w:type="dxa"/>
            <w:vMerge w:val="continue"/>
            <w:tcBorders>
              <w:left w:val="single" w:color="auto" w:sz="4" w:space="0"/>
              <w:right w:val="single" w:color="auto" w:sz="4" w:space="0"/>
            </w:tcBorders>
            <w:vAlign w:val="center"/>
          </w:tcPr>
          <w:p>
            <w:pPr>
              <w:spacing w:line="480" w:lineRule="exact"/>
              <w:jc w:val="center"/>
              <w:rPr>
                <w:rFonts w:hint="eastAsia" w:ascii="Times New Roman" w:hAnsi="Times New Roman" w:cs="Times New Roman"/>
                <w:lang w:val="en-US" w:eastAsia="zh-CN"/>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80" w:lineRule="exact"/>
              <w:rPr>
                <w:rFonts w:ascii="Times New Roman" w:hAnsi="Times New Roman" w:cs="Times New Roman"/>
              </w:rPr>
            </w:pPr>
          </w:p>
        </w:tc>
      </w:tr>
      <w:tr>
        <w:tblPrEx>
          <w:tblCellMar>
            <w:top w:w="0" w:type="dxa"/>
            <w:left w:w="108" w:type="dxa"/>
            <w:bottom w:w="0" w:type="dxa"/>
            <w:right w:w="108" w:type="dxa"/>
          </w:tblCellMar>
        </w:tblPrEx>
        <w:trPr>
          <w:trHeight w:val="567" w:hRule="atLeast"/>
        </w:trPr>
        <w:tc>
          <w:tcPr>
            <w:tcW w:w="1000" w:type="dxa"/>
            <w:vMerge w:val="continue"/>
            <w:tcBorders>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lang w:val="en-US" w:eastAsia="zh-CN"/>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ascii="Times New Roman" w:hAnsi="Times New Roman" w:cs="Times New Roman"/>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tc>
      </w:tr>
      <w:tr>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（1）中标后，响应保证金自动转为履约保证金。</w:t>
            </w:r>
          </w:p>
          <w:p>
            <w:pPr>
              <w:snapToGrid w:val="0"/>
              <w:spacing w:line="480" w:lineRule="exac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highlight w:val="none"/>
                <w:lang w:val="en-US" w:eastAsia="zh-CN" w:bidi="ar-SA"/>
              </w:rPr>
              <w:t>（2）履约保证金退还时间：该项目物资供应整体验收完成后28天内。</w:t>
            </w:r>
          </w:p>
        </w:tc>
      </w:tr>
      <w:tr>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20" w:firstLineChars="200"/>
              <w:rPr>
                <w:rFonts w:hint="eastAsia"/>
                <w:lang w:val="en-US" w:eastAsia="zh-CN"/>
              </w:rPr>
            </w:pPr>
            <w:r>
              <w:rPr>
                <w:rFonts w:hint="eastAsia"/>
                <w:lang w:val="en-US" w:eastAsia="zh-CN"/>
              </w:rPr>
              <w:t>投标人或其他利害关系人对评标结果有异议的，应以书面形式提出，异议材料应包括：</w:t>
            </w:r>
          </w:p>
          <w:p>
            <w:pPr>
              <w:snapToGrid w:val="0"/>
              <w:spacing w:line="480" w:lineRule="exact"/>
              <w:rPr>
                <w:rFonts w:hint="eastAsia"/>
                <w:lang w:val="en-US" w:eastAsia="zh-CN"/>
              </w:rPr>
            </w:pPr>
            <w:r>
              <w:rPr>
                <w:rFonts w:hint="eastAsia"/>
                <w:lang w:val="en-US" w:eastAsia="zh-CN"/>
              </w:rPr>
              <w:t>（1）异议人的名称、地址及有效联系方式；</w:t>
            </w:r>
          </w:p>
          <w:p>
            <w:pPr>
              <w:snapToGrid w:val="0"/>
              <w:spacing w:line="480" w:lineRule="exact"/>
              <w:rPr>
                <w:rFonts w:hint="eastAsia"/>
                <w:lang w:val="en-US" w:eastAsia="zh-CN"/>
              </w:rPr>
            </w:pPr>
            <w:r>
              <w:rPr>
                <w:rFonts w:hint="eastAsia"/>
                <w:lang w:val="en-US" w:eastAsia="zh-CN"/>
              </w:rPr>
              <w:t>（2）异议事项的基本事实；</w:t>
            </w:r>
          </w:p>
          <w:p>
            <w:pPr>
              <w:snapToGrid w:val="0"/>
              <w:spacing w:line="480" w:lineRule="exact"/>
              <w:rPr>
                <w:rFonts w:hint="eastAsia"/>
                <w:lang w:val="en-US" w:eastAsia="zh-CN"/>
              </w:rPr>
            </w:pPr>
            <w:r>
              <w:rPr>
                <w:rFonts w:hint="eastAsia"/>
                <w:lang w:val="en-US" w:eastAsia="zh-CN"/>
              </w:rPr>
              <w:t>（3）有效线索和相关证明材料。</w:t>
            </w:r>
          </w:p>
          <w:p>
            <w:pPr>
              <w:snapToGrid w:val="0"/>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lang w:val="en-US" w:eastAsia="zh-CN"/>
              </w:rPr>
            </w:pPr>
            <w:r>
              <w:rPr>
                <w:rFonts w:hint="eastAsia"/>
                <w:lang w:val="en-US" w:eastAsia="zh-CN"/>
              </w:rPr>
              <w:t>一、投标人根据自身企业的生产能力和供货能力进行投标。</w:t>
            </w:r>
          </w:p>
          <w:p>
            <w:pPr>
              <w:snapToGrid w:val="0"/>
              <w:spacing w:line="480" w:lineRule="exact"/>
              <w:rPr>
                <w:rFonts w:hint="eastAsia"/>
                <w:lang w:val="en-US" w:eastAsia="zh-CN"/>
              </w:rPr>
            </w:pPr>
            <w:r>
              <w:rPr>
                <w:rFonts w:hint="eastAsia"/>
                <w:b/>
                <w:bCs/>
                <w:lang w:val="en-US" w:eastAsia="zh-CN"/>
              </w:rPr>
              <w:t>二、如在约定的供货期限内达不到招标人要求的供货数量：</w:t>
            </w:r>
          </w:p>
          <w:p>
            <w:pPr>
              <w:snapToGrid w:val="0"/>
              <w:spacing w:line="480" w:lineRule="exact"/>
              <w:ind w:firstLine="420" w:firstLineChars="200"/>
              <w:rPr>
                <w:rFonts w:hint="eastAsia"/>
                <w:lang w:val="en-US" w:eastAsia="zh-CN"/>
              </w:rPr>
            </w:pPr>
            <w:r>
              <w:rPr>
                <w:rFonts w:hint="eastAsia"/>
                <w:lang w:val="en-US" w:eastAsia="zh-CN"/>
              </w:rPr>
              <w:t>1.招标人有权终止合同，并依据合同规定追究法律责任。</w:t>
            </w:r>
          </w:p>
          <w:p>
            <w:pPr>
              <w:snapToGrid w:val="0"/>
              <w:spacing w:line="480" w:lineRule="exact"/>
              <w:ind w:firstLine="420" w:firstLineChars="200"/>
              <w:rPr>
                <w:rFonts w:hint="eastAsia"/>
                <w:lang w:val="en-US" w:eastAsia="zh-CN"/>
              </w:rPr>
            </w:pPr>
            <w:r>
              <w:rPr>
                <w:rFonts w:hint="eastAsia"/>
                <w:lang w:val="en-US" w:eastAsia="zh-CN"/>
              </w:rPr>
              <w:t>2.采购人有权将违约行为有权按照约定进行处罚。</w:t>
            </w:r>
          </w:p>
          <w:p>
            <w:pPr>
              <w:pStyle w:val="2"/>
              <w:rPr>
                <w:rFonts w:hint="default"/>
                <w:lang w:val="en-US" w:eastAsia="zh-CN"/>
              </w:rPr>
            </w:pPr>
            <w:r>
              <w:rPr>
                <w:rFonts w:hint="eastAsia"/>
                <w:b/>
                <w:bCs/>
                <w:lang w:val="en-US" w:eastAsia="zh-CN"/>
              </w:rPr>
              <w:t>三、异常低价或不平衡报价，采购人有权做废标处理。</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9.3</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420" w:firstLineChars="200"/>
              <w:jc w:val="both"/>
              <w:textAlignment w:val="top"/>
              <w:rPr>
                <w:rFonts w:hint="eastAsia" w:ascii="Times New Roman" w:hAnsi="Times New Roman" w:eastAsia="宋体" w:cs="Times New Roman"/>
                <w:szCs w:val="21"/>
                <w:lang w:val="en-US" w:eastAsia="zh-CN"/>
              </w:rPr>
            </w:pPr>
            <w:r>
              <w:rPr>
                <w:rFonts w:hint="eastAsia"/>
                <w:lang w:val="en-US" w:eastAsia="zh-CN"/>
              </w:rPr>
              <w:t>本项目后期有可能涉及部分货物的局部或尺寸的细微调整，需进行优化设计，投标单位在投标报价时应充分考虑此部分的费用，根据自身因素、综合条件、市场风险自行报价，中标后不予调整。</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9.4</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供货方按合同约定的交货地点交货后安装完毕并投入使用，由使用单位或合同签订单位进行设备验收检测，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bl>
    <w:p>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w:t>
      </w:r>
    </w:p>
    <w:p>
      <w:pPr>
        <w:rPr>
          <w:rFonts w:ascii="Times New Roman" w:hAnsi="Times New Roman" w:eastAsia="黑体" w:cs="Times New Roman"/>
          <w:bCs/>
          <w:sz w:val="24"/>
          <w:szCs w:val="32"/>
        </w:rPr>
      </w:pPr>
      <w:bookmarkStart w:id="50" w:name="_Toc26656938"/>
      <w:bookmarkStart w:id="51" w:name="_Toc9067720"/>
      <w:bookmarkStart w:id="52" w:name="_Toc14201207"/>
      <w:r>
        <w:rPr>
          <w:rFonts w:ascii="Times New Roman" w:hAnsi="Times New Roman" w:eastAsia="黑体" w:cs="Times New Roman"/>
          <w:bCs/>
          <w:sz w:val="24"/>
          <w:szCs w:val="32"/>
        </w:rPr>
        <w:br w:type="page"/>
      </w:r>
    </w:p>
    <w:p>
      <w:pPr>
        <w:jc w:val="center"/>
        <w:rPr>
          <w:highlight w:val="none"/>
        </w:rPr>
      </w:pPr>
      <w:r>
        <w:rPr>
          <w:rFonts w:hint="eastAsia" w:ascii="黑体" w:eastAsia="黑体"/>
          <w:sz w:val="24"/>
          <w:szCs w:val="24"/>
          <w:highlight w:val="none"/>
        </w:rPr>
        <w:t>附录1 资格审查条件（资质最低条件）</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noWrap w:val="0"/>
            <w:vAlign w:val="center"/>
          </w:tcPr>
          <w:p>
            <w:pPr>
              <w:jc w:val="center"/>
              <w:rPr>
                <w:rFonts w:hint="eastAsia"/>
                <w:sz w:val="22"/>
                <w:szCs w:val="22"/>
                <w:highlight w:val="none"/>
              </w:rPr>
            </w:pPr>
            <w:r>
              <w:rPr>
                <w:rFonts w:hint="eastAsia"/>
                <w:sz w:val="21"/>
                <w:szCs w:val="21"/>
                <w:highlight w:val="none"/>
              </w:rPr>
              <w:t>投标人为独立法人资格，持有有效营业执照的供应商</w:t>
            </w:r>
            <w:r>
              <w:rPr>
                <w:rFonts w:hint="eastAsia" w:ascii="宋体" w:hAnsi="宋体" w:cs="宋体"/>
                <w:sz w:val="21"/>
                <w:szCs w:val="21"/>
                <w:highlight w:val="none"/>
              </w:rPr>
              <w:t>。</w:t>
            </w:r>
          </w:p>
        </w:tc>
      </w:tr>
    </w:tbl>
    <w:p>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pPr>
        <w:pStyle w:val="2"/>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420" w:firstLineChars="200"/>
              <w:jc w:val="both"/>
              <w:textAlignment w:val="auto"/>
              <w:rPr>
                <w:rFonts w:hint="eastAsia" w:ascii="宋体" w:hAnsi="宋体" w:eastAsia="宋体" w:cs="宋体"/>
                <w:u w:val="none"/>
                <w:lang w:val="en-US" w:eastAsia="zh-CN"/>
              </w:rPr>
            </w:pPr>
            <w:r>
              <w:rPr>
                <w:rFonts w:hint="eastAsia" w:ascii="宋体" w:hAnsi="宋体" w:eastAsia="宋体" w:cs="宋体"/>
                <w:highlight w:val="none"/>
                <w:u w:val="none"/>
                <w:lang w:val="en-US" w:eastAsia="zh-CN"/>
              </w:rPr>
              <w:t xml:space="preserve"> </w:t>
            </w:r>
            <w:r>
              <w:rPr>
                <w:rFonts w:hint="eastAsia" w:ascii="宋体" w:hAnsi="宋体" w:eastAsia="宋体" w:cs="宋体"/>
                <w:u w:val="none"/>
                <w:lang w:val="en-US" w:eastAsia="zh-CN"/>
              </w:rPr>
              <w:t>至少提供1个自2020年1月1日以来，单项合同额不低于</w:t>
            </w:r>
            <w:r>
              <w:rPr>
                <w:rFonts w:hint="eastAsia" w:ascii="宋体" w:hAnsi="宋体" w:eastAsia="宋体" w:cs="宋体"/>
                <w:highlight w:val="none"/>
                <w:u w:val="none"/>
                <w:lang w:val="en-US" w:eastAsia="zh-CN"/>
              </w:rPr>
              <w:t>50万元</w:t>
            </w:r>
            <w:r>
              <w:rPr>
                <w:rFonts w:hint="eastAsia" w:ascii="宋体" w:hAnsi="宋体" w:eastAsia="宋体" w:cs="宋体"/>
                <w:u w:val="none"/>
                <w:lang w:val="en-US" w:eastAsia="zh-CN"/>
              </w:rPr>
              <w:t>的</w:t>
            </w:r>
            <w:r>
              <w:rPr>
                <w:rFonts w:hint="eastAsia" w:ascii="Times New Roman" w:hAnsi="Times New Roman" w:cs="Times New Roman"/>
                <w:color w:val="auto"/>
                <w:szCs w:val="21"/>
                <w:highlight w:val="none"/>
                <w:u w:val="none"/>
                <w:lang w:val="en-US" w:eastAsia="zh-CN"/>
              </w:rPr>
              <w:t>厨具设备销售合同业绩。</w:t>
            </w:r>
          </w:p>
          <w:p>
            <w:pPr>
              <w:snapToGrid w:val="0"/>
              <w:jc w:val="center"/>
              <w:rPr>
                <w:rFonts w:hAnsi="宋体"/>
                <w:sz w:val="22"/>
                <w:szCs w:val="22"/>
                <w:highlight w:val="none"/>
              </w:rPr>
            </w:pPr>
          </w:p>
        </w:tc>
      </w:tr>
    </w:tbl>
    <w:p>
      <w:pPr>
        <w:bidi w:val="0"/>
        <w:rPr>
          <w:rFonts w:hint="eastAsia"/>
          <w:lang w:val="en-US" w:eastAsia="zh-CN"/>
        </w:rPr>
      </w:pPr>
      <w:r>
        <w:rPr>
          <w:rFonts w:hint="eastAsia"/>
          <w:lang w:val="en-US" w:eastAsia="zh-CN"/>
        </w:rPr>
        <w:t>业绩证明材料要求如下，否则业绩不予认可。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 xml:space="preserve">①合同协议书扫描件；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②若合同协议书中不能明确反映出招标文件所要求内容的（如合同金额、合同签订时间、供货内容等），则须提供业主单位（甲方）出具加盖公章的证明材料扫描件。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③若业绩合同中包含多项设备，则合同中应能体现资格要求中所需设备的内容和金额，无法体现的，须提供供货单据、供货发票、业主验收单等能证明相关评审因素的证明材料，否则业绩不与认可。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lang w:val="en-US" w:eastAsia="zh-CN"/>
        </w:rPr>
        <w:t>④</w:t>
      </w:r>
      <w:r>
        <w:rPr>
          <w:rFonts w:hint="eastAsia"/>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pPr>
        <w:pStyle w:val="2"/>
        <w:rPr>
          <w:rFonts w:hint="eastAsia"/>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72" w:type="dxa"/>
            <w:noWrap w:val="0"/>
            <w:vAlign w:val="center"/>
          </w:tcPr>
          <w:p>
            <w:pPr>
              <w:spacing w:line="276" w:lineRule="auto"/>
              <w:ind w:firstLine="210" w:firstLineChars="100"/>
              <w:jc w:val="left"/>
              <w:rPr>
                <w:rFonts w:hint="eastAsia"/>
              </w:rPr>
            </w:pPr>
            <w:r>
              <w:rPr>
                <w:rFonts w:hint="eastAsia"/>
              </w:rPr>
              <w:t>1.投标人、法定代表人近三年内无行贿犯罪行为。</w:t>
            </w:r>
          </w:p>
          <w:p>
            <w:pPr>
              <w:spacing w:line="276" w:lineRule="auto"/>
              <w:ind w:firstLine="210" w:firstLineChars="100"/>
              <w:jc w:val="left"/>
              <w:rPr>
                <w:rFonts w:hint="eastAsia"/>
              </w:rPr>
            </w:pPr>
            <w:r>
              <w:rPr>
                <w:rFonts w:hint="eastAsia"/>
              </w:rPr>
              <w:t>2.投标人未被人民法院列入失信被执行人（以“信用中国”官网http://www.creditchina.gov.cn查询为准）。</w:t>
            </w:r>
          </w:p>
          <w:p>
            <w:pPr>
              <w:spacing w:line="276" w:lineRule="auto"/>
              <w:ind w:firstLine="210" w:firstLineChars="100"/>
              <w:jc w:val="left"/>
              <w:rPr>
                <w:rFonts w:hint="eastAsia"/>
              </w:rPr>
            </w:pPr>
            <w:r>
              <w:rPr>
                <w:rFonts w:hint="eastAsia"/>
              </w:rPr>
              <w:t>3投标人没有正受到责令停业，暂扣或吊销执照，或吊销资质证书。</w:t>
            </w:r>
          </w:p>
          <w:p>
            <w:pPr>
              <w:spacing w:line="276" w:lineRule="auto"/>
              <w:ind w:firstLine="210" w:firstLineChars="100"/>
              <w:jc w:val="left"/>
              <w:rPr>
                <w:rFonts w:hint="eastAsia"/>
              </w:rPr>
            </w:pPr>
            <w:r>
              <w:rPr>
                <w:rFonts w:hint="eastAsia"/>
                <w:lang w:val="en-US" w:eastAsia="zh-CN"/>
              </w:rPr>
              <w:t>4</w:t>
            </w:r>
            <w:r>
              <w:rPr>
                <w:rFonts w:hint="eastAsia"/>
              </w:rPr>
              <w:t>.没有进入清算程序，或被宣告破产，或其他丧失履约能力的情形。</w:t>
            </w:r>
          </w:p>
          <w:p>
            <w:pPr>
              <w:spacing w:line="276" w:lineRule="auto"/>
              <w:ind w:firstLine="210" w:firstLineChars="100"/>
              <w:jc w:val="left"/>
              <w:rPr>
                <w:rFonts w:hint="eastAsia"/>
              </w:rPr>
            </w:pPr>
            <w:r>
              <w:rPr>
                <w:rFonts w:hint="eastAsia"/>
                <w:lang w:val="en-US" w:eastAsia="zh-CN"/>
              </w:rPr>
              <w:t>5</w:t>
            </w:r>
            <w:r>
              <w:rPr>
                <w:rFonts w:hint="eastAsia"/>
              </w:rPr>
              <w:t>.没有在国家企业信用信息公示系统（http://www.gsxt.gov.cn）中被列入严重违法失信企业名单。</w:t>
            </w:r>
          </w:p>
          <w:p>
            <w:pPr>
              <w:spacing w:line="276" w:lineRule="auto"/>
              <w:ind w:firstLine="210" w:firstLineChars="100"/>
              <w:jc w:val="left"/>
              <w:rPr>
                <w:rFonts w:hint="eastAsia"/>
              </w:rPr>
            </w:pPr>
            <w:r>
              <w:rPr>
                <w:rFonts w:hint="eastAsia"/>
                <w:lang w:val="en-US" w:eastAsia="zh-CN"/>
              </w:rPr>
              <w:t>6</w:t>
            </w:r>
            <w:r>
              <w:rPr>
                <w:rFonts w:hint="eastAsia"/>
              </w:rPr>
              <w:t>.没有法律法规规定的其他情形。</w:t>
            </w:r>
          </w:p>
          <w:p>
            <w:pPr>
              <w:spacing w:line="276" w:lineRule="auto"/>
              <w:ind w:firstLine="210" w:firstLineChars="100"/>
              <w:jc w:val="left"/>
            </w:pPr>
          </w:p>
        </w:tc>
      </w:tr>
    </w:tbl>
    <w:p>
      <w:pPr>
        <w:pStyle w:val="3"/>
        <w:rPr>
          <w:rFonts w:ascii="Times New Roman" w:hAnsi="Times New Roman" w:eastAsia="黑体" w:cs="Times New Roman"/>
          <w:bCs/>
          <w:sz w:val="24"/>
          <w:szCs w:val="32"/>
        </w:rPr>
      </w:pP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采购邀请书第3.1款要求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hint="eastAsia" w:ascii="Times New Roman" w:hAnsi="Times New Roman" w:cs="Times New Roman"/>
          <w:szCs w:val="21"/>
        </w:rPr>
      </w:pPr>
      <w:r>
        <w:rPr>
          <w:rFonts w:hint="eastAsia" w:ascii="Times New Roman" w:hAnsi="Times New Roman" w:cs="Times New Roman"/>
          <w:szCs w:val="21"/>
        </w:rPr>
        <w:t>供应商准备和参加询比活动发生的费用自理。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ghlight w:val="none"/>
        </w:rPr>
        <w:t>）</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hint="eastAsia" w:ascii="Times New Roman" w:hAnsi="Times New Roman" w:eastAsia="宋体" w:cs="Times New Roman"/>
          <w:lang w:eastAsia="zh-CN"/>
        </w:rPr>
      </w:pPr>
      <w:r>
        <w:rPr>
          <w:rFonts w:ascii="Times New Roman" w:hAnsi="Times New Roman" w:cs="Times New Roman"/>
        </w:rPr>
        <w:t>（4）合同内容</w:t>
      </w:r>
      <w:r>
        <w:rPr>
          <w:rFonts w:hint="eastAsia" w:ascii="Times New Roman" w:hAnsi="Times New Roman" w:eastAsia="宋体" w:cs="Times New Roman"/>
          <w:lang w:eastAsia="zh-CN"/>
        </w:rPr>
        <w:t>；</w:t>
      </w:r>
    </w:p>
    <w:p>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rPr>
        <w:t>供货要求</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）采购需求及清单；</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w:t>
      </w:r>
      <w:r>
        <w:rPr>
          <w:rFonts w:hint="eastAsia" w:ascii="Times New Roman" w:hAnsi="Times New Roman" w:cs="Times New Roman"/>
        </w:rPr>
        <w:t xml:space="preserve"> </w:t>
      </w:r>
      <w:r>
        <w:rPr>
          <w:rFonts w:ascii="Times New Roman" w:hAnsi="Times New Roman" w:cs="Times New Roman"/>
        </w:rPr>
        <w:t>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eastAsia="zh-CN"/>
        </w:rPr>
        <w:t>“</w:t>
      </w:r>
      <w:r>
        <w:rPr>
          <w:rFonts w:hint="eastAsia" w:ascii="Times New Roman" w:hAnsi="Times New Roman" w:cs="Times New Roman"/>
        </w:rPr>
        <w:t>安徽</w:t>
      </w:r>
      <w:r>
        <w:rPr>
          <w:rFonts w:hint="eastAsia" w:ascii="Times New Roman" w:hAnsi="Times New Roman" w:cs="Times New Roman"/>
          <w:lang w:val="en-US" w:eastAsia="zh-CN"/>
        </w:rPr>
        <w:t>省经工建设集团有限公司”官网平台联系采购人</w:t>
      </w:r>
      <w:r>
        <w:rPr>
          <w:rFonts w:ascii="Times New Roman" w:hAnsi="Times New Roman" w:cs="Times New Roman"/>
        </w:rPr>
        <w:t>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pPr>
        <w:numPr>
          <w:ilvl w:val="0"/>
          <w:numId w:val="3"/>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3"/>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val="en-US" w:eastAsia="zh-CN"/>
        </w:rPr>
        <w:t>技术性能（质量）指标描述</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响应报价需要说明的其他资料。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lang w:val="en-US" w:eastAsia="zh-C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第2.</w:t>
      </w:r>
      <w:r>
        <w:rPr>
          <w:rFonts w:hint="eastAsia" w:ascii="Times New Roman" w:hAnsi="Times New Roman" w:cs="Times New Roman"/>
          <w:lang w:val="en-US" w:eastAsia="zh-CN"/>
        </w:rPr>
        <w:t>6</w:t>
      </w:r>
      <w:r>
        <w:rPr>
          <w:rFonts w:hint="eastAsia" w:ascii="Times New Roman" w:hAnsi="Times New Roman" w:cs="Times New Roman"/>
        </w:rPr>
        <w:t>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见供应商须知前附表  </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第7条的要求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w:t>
      </w:r>
      <w:r>
        <w:rPr>
          <w:rFonts w:hint="eastAsia" w:ascii="Times New Roman" w:hAnsi="Times New Roman" w:cs="Times New Roman"/>
        </w:rPr>
        <w:t>能力、</w:t>
      </w:r>
      <w:r>
        <w:rPr>
          <w:rFonts w:ascii="Times New Roman" w:hAnsi="Times New Roman" w:cs="Times New Roman"/>
        </w:rPr>
        <w:t>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（2）</w:t>
      </w:r>
      <w:r>
        <w:rPr>
          <w:rFonts w:hint="eastAsia" w:ascii="Times New Roman" w:hAnsi="Times New Roman" w:cs="Times New Roman"/>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rPr>
        <w:t>（3）</w:t>
      </w:r>
      <w:r>
        <w:rPr>
          <w:rFonts w:hint="eastAsia" w:ascii="Times New Roman" w:hAnsi="Times New Roman" w:cs="Times New Roman"/>
          <w:bCs/>
          <w:lang w:val="en-US" w:eastAsia="zh-CN"/>
        </w:rPr>
        <w:t>开启商务技术文件</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lang w:val="en-US" w:eastAsia="zh-CN"/>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rPr>
        <w:t>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pPr>
        <w:rPr>
          <w:rFonts w:hint="default" w:ascii="宋体" w:hAnsi="宋体" w:eastAsia="宋体" w:cs="宋体"/>
          <w:kern w:val="2"/>
          <w:sz w:val="21"/>
          <w:szCs w:val="21"/>
          <w:lang w:val="en-US" w:eastAsia="zh-CN" w:bidi="ar-SA"/>
        </w:rPr>
      </w:pPr>
      <w:r>
        <w:rPr>
          <w:rFonts w:ascii="Times New Roman" w:hAnsi="Times New Roman" w:cs="Times New Roman"/>
        </w:rPr>
        <w:t>7.4.1</w:t>
      </w:r>
      <w:r>
        <w:rPr>
          <w:rFonts w:hint="eastAsia" w:ascii="宋体" w:hAnsi="宋体" w:eastAsia="宋体" w:cs="宋体"/>
          <w:kern w:val="2"/>
          <w:sz w:val="21"/>
          <w:szCs w:val="21"/>
          <w:lang w:val="en-US" w:eastAsia="zh-CN" w:bidi="ar-SA"/>
        </w:rPr>
        <w:t>中标后，响应保证金自动转为履约保证金。</w:t>
      </w:r>
    </w:p>
    <w:p>
      <w:pPr>
        <w:spacing w:line="440" w:lineRule="exact"/>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eastAsiaTheme="minorEastAsia"/>
          <w:b/>
          <w:bCs/>
          <w:kern w:val="2"/>
          <w:sz w:val="21"/>
          <w:szCs w:val="24"/>
          <w:highlight w:val="none"/>
          <w:lang w:val="en-US" w:eastAsia="zh-CN" w:bidi="ar-SA"/>
        </w:rPr>
      </w:pPr>
      <w:r>
        <w:rPr>
          <w:rFonts w:hint="eastAsia" w:ascii="Times New Roman" w:hAnsi="Times New Roman" w:cs="Times New Roman" w:eastAsiaTheme="minorEastAsia"/>
          <w:b/>
          <w:bCs/>
          <w:kern w:val="2"/>
          <w:sz w:val="21"/>
          <w:szCs w:val="24"/>
          <w:highlight w:val="none"/>
          <w:lang w:val="en-US" w:eastAsia="zh-CN" w:bidi="ar-SA"/>
        </w:rPr>
        <w:t>7.4.3履约保证金在该项目物资供应整体验收完成后28天内无息退还。</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 xml:space="preserve">8.1 </w:t>
      </w:r>
      <w:r>
        <w:rPr>
          <w:rFonts w:hint="eastAsia" w:ascii="Times New Roman" w:hAnsi="Times New Roman" w:eastAsia="黑体" w:cs="Times New Roman"/>
          <w:bCs/>
          <w:sz w:val="24"/>
          <w:szCs w:val="32"/>
        </w:rPr>
        <w:t>对</w:t>
      </w:r>
      <w:r>
        <w:rPr>
          <w:rFonts w:hint="eastAsia" w:ascii="Times New Roman" w:hAnsi="Times New Roman" w:eastAsia="黑体" w:cs="Times New Roman"/>
          <w:bCs/>
          <w:sz w:val="24"/>
          <w:szCs w:val="32"/>
          <w:lang w:eastAsia="zh-CN"/>
        </w:rPr>
        <w:t>采购</w:t>
      </w:r>
      <w:r>
        <w:rPr>
          <w:rFonts w:hint="eastAsia" w:ascii="Times New Roman" w:hAnsi="Times New Roman" w:eastAsia="黑体" w:cs="Times New Roman"/>
          <w:bCs/>
          <w:sz w:val="24"/>
          <w:szCs w:val="32"/>
        </w:rPr>
        <w:t>人的纪律要求</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eastAsia="zh-CN"/>
        </w:rPr>
        <w:t>采购</w:t>
      </w:r>
      <w:r>
        <w:rPr>
          <w:rFonts w:hint="eastAsia" w:ascii="Times New Roman" w:hAnsi="Times New Roman" w:cs="Times New Roman"/>
        </w:rPr>
        <w:t>人不得泄露</w:t>
      </w:r>
      <w:r>
        <w:rPr>
          <w:rFonts w:hint="eastAsia" w:ascii="Times New Roman" w:hAnsi="Times New Roman" w:cs="Times New Roman"/>
          <w:lang w:eastAsia="zh-CN"/>
        </w:rPr>
        <w:t>采购</w:t>
      </w:r>
      <w:r>
        <w:rPr>
          <w:rFonts w:hint="eastAsia" w:ascii="Times New Roman" w:hAnsi="Times New Roman" w:cs="Times New Roman"/>
        </w:rPr>
        <w:t>活动中应当保密的情况和资料， 不得与</w:t>
      </w:r>
      <w:r>
        <w:rPr>
          <w:rFonts w:hint="eastAsia" w:ascii="Times New Roman" w:hAnsi="Times New Roman" w:cs="Times New Roman"/>
          <w:lang w:eastAsia="zh-CN"/>
        </w:rPr>
        <w:t>响应供应商</w:t>
      </w:r>
      <w:r>
        <w:rPr>
          <w:rFonts w:hint="eastAsia" w:ascii="Times New Roman" w:hAnsi="Times New Roman" w:cs="Times New Roman"/>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8.2对响应供应商的纪律要求</w:t>
      </w:r>
    </w:p>
    <w:p>
      <w:pPr>
        <w:spacing w:line="440" w:lineRule="exact"/>
        <w:ind w:firstLine="420"/>
        <w:rPr>
          <w:rFonts w:hint="eastAsia" w:ascii="Times New Roman" w:hAnsi="Times New Roman" w:cs="Times New Roman"/>
        </w:rPr>
      </w:pPr>
      <w:r>
        <w:rPr>
          <w:rFonts w:hint="eastAsia"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8.3 对评审小组成员的纪律要求</w:t>
      </w:r>
    </w:p>
    <w:p>
      <w:pPr>
        <w:spacing w:line="440" w:lineRule="exact"/>
        <w:ind w:firstLine="420"/>
        <w:rPr>
          <w:rFonts w:hint="default" w:ascii="Times New Roman" w:hAnsi="Times New Roman" w:cs="Times New Roman"/>
          <w:lang w:val="en-US" w:eastAsia="zh-CN"/>
        </w:rPr>
      </w:pPr>
      <w:r>
        <w:rPr>
          <w:rFonts w:hint="eastAsia" w:ascii="Times New Roman" w:hAnsi="Times New Roman" w:cs="Times New Roman"/>
          <w:lang w:eastAsia="zh-CN"/>
        </w:rPr>
        <w:t>评审小组</w:t>
      </w:r>
      <w:r>
        <w:rPr>
          <w:rFonts w:hint="eastAsia" w:ascii="Times New Roman" w:hAnsi="Times New Roman" w:cs="Times New Roman"/>
        </w:rPr>
        <w:t>成员不得收受他人的财物或者其他好处，不得向他人透露对</w:t>
      </w:r>
      <w:r>
        <w:rPr>
          <w:rFonts w:hint="eastAsia" w:ascii="Times New Roman" w:hAnsi="Times New Roman" w:cs="Times New Roman"/>
          <w:lang w:eastAsia="zh-CN"/>
        </w:rPr>
        <w:t>响应</w:t>
      </w:r>
      <w:r>
        <w:rPr>
          <w:rFonts w:hint="eastAsia" w:ascii="Times New Roman" w:hAnsi="Times New Roman" w:cs="Times New Roman"/>
        </w:rPr>
        <w:t>文件的评审和比较、中标候选人的推荐情况以及</w:t>
      </w:r>
      <w:r>
        <w:rPr>
          <w:rFonts w:hint="eastAsia" w:ascii="Times New Roman" w:hAnsi="Times New Roman" w:cs="Times New Roman"/>
          <w:lang w:eastAsia="zh-CN"/>
        </w:rPr>
        <w:t>评审</w:t>
      </w:r>
      <w:r>
        <w:rPr>
          <w:rFonts w:hint="eastAsia" w:ascii="Times New Roman" w:hAnsi="Times New Roman" w:cs="Times New Roman"/>
        </w:rPr>
        <w:t>有关的其他情况。在</w:t>
      </w:r>
      <w:r>
        <w:rPr>
          <w:rFonts w:hint="eastAsia" w:ascii="Times New Roman" w:hAnsi="Times New Roman" w:cs="Times New Roman"/>
          <w:lang w:eastAsia="zh-CN"/>
        </w:rPr>
        <w:t>评审</w:t>
      </w:r>
      <w:r>
        <w:rPr>
          <w:rFonts w:hint="eastAsia" w:ascii="Times New Roman" w:hAnsi="Times New Roman" w:cs="Times New Roman"/>
        </w:rPr>
        <w:t>活动中，</w:t>
      </w:r>
      <w:r>
        <w:rPr>
          <w:rFonts w:hint="eastAsia" w:ascii="Times New Roman" w:hAnsi="Times New Roman" w:cs="Times New Roman"/>
          <w:lang w:eastAsia="zh-CN"/>
        </w:rPr>
        <w:t>评审小组</w:t>
      </w:r>
      <w:r>
        <w:rPr>
          <w:rFonts w:hint="eastAsia" w:ascii="Times New Roman" w:hAnsi="Times New Roman" w:cs="Times New Roman"/>
        </w:rPr>
        <w:t>成员应当客观、公正地履行职责，遵守职业道德，不得擅离职守，影响评标程序正常进行，不得使用第三章“</w:t>
      </w:r>
      <w:r>
        <w:rPr>
          <w:rFonts w:hint="eastAsia" w:ascii="Times New Roman" w:hAnsi="Times New Roman" w:cs="Times New Roman"/>
          <w:lang w:eastAsia="zh-CN"/>
        </w:rPr>
        <w:t>评审</w:t>
      </w:r>
      <w:r>
        <w:rPr>
          <w:rFonts w:hint="eastAsia" w:ascii="Times New Roman" w:hAnsi="Times New Roman" w:cs="Times New Roman"/>
        </w:rPr>
        <w:t>办法”没有规定的评审因素和标准进行</w:t>
      </w:r>
      <w:r>
        <w:rPr>
          <w:rFonts w:hint="eastAsia" w:ascii="Times New Roman" w:hAnsi="Times New Roman" w:cs="Times New Roman"/>
          <w:lang w:eastAsia="zh-CN"/>
        </w:rPr>
        <w:t>评审</w:t>
      </w:r>
      <w:r>
        <w:rPr>
          <w:rFonts w:hint="eastAsia"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hint="eastAsia" w:ascii="Times New Roman" w:hAnsi="Times New Roman" w:eastAsia="黑体" w:cs="Times New Roman"/>
          <w:bCs/>
          <w:sz w:val="24"/>
          <w:szCs w:val="32"/>
        </w:rPr>
        <w:t xml:space="preserve">9. </w:t>
      </w:r>
      <w:r>
        <w:rPr>
          <w:rFonts w:ascii="Times New Roman" w:hAnsi="Times New Roman" w:eastAsia="黑体" w:cs="Times New Roman"/>
          <w:bCs/>
          <w:sz w:val="24"/>
          <w:szCs w:val="32"/>
        </w:rPr>
        <w:t>需要补充的其他内容</w:t>
      </w:r>
    </w:p>
    <w:p>
      <w:pPr>
        <w:spacing w:line="440" w:lineRule="exact"/>
        <w:ind w:firstLine="420"/>
        <w:rPr>
          <w:rFonts w:hint="eastAsia" w:ascii="Times New Roman" w:hAnsi="Times New Roman" w:cs="Times New Roman"/>
        </w:rPr>
      </w:pPr>
      <w:r>
        <w:rPr>
          <w:rFonts w:hint="eastAsia" w:ascii="Times New Roman" w:hAnsi="Times New Roman" w:cs="Times New Roman"/>
        </w:rPr>
        <w:t>需要补充的其他内容：见供应商须知前附表。</w:t>
      </w:r>
    </w:p>
    <w:bookmarkEnd w:id="50"/>
    <w:bookmarkEnd w:id="51"/>
    <w:bookmarkEnd w:id="52"/>
    <w:p>
      <w:pPr>
        <w:spacing w:line="440" w:lineRule="exact"/>
        <w:ind w:firstLine="420"/>
        <w:rPr>
          <w:rFonts w:hint="eastAsia" w:ascii="Times New Roman" w:hAnsi="Times New Roman" w:cs="Times New Roman"/>
        </w:rPr>
      </w:pPr>
      <w:r>
        <w:rPr>
          <w:rFonts w:hint="eastAsia" w:ascii="Times New Roman" w:hAnsi="Times New Roman" w:cs="Times New Roman"/>
        </w:rPr>
        <w:br w:type="page"/>
      </w:r>
    </w:p>
    <w:p>
      <w:pPr>
        <w:pStyle w:val="4"/>
        <w:spacing w:before="312" w:after="312"/>
        <w:rPr>
          <w:rFonts w:ascii="Times New Roman" w:hAnsi="Times New Roman" w:eastAsia="宋体" w:cs="Times New Roman"/>
        </w:rPr>
      </w:pPr>
      <w:bookmarkStart w:id="53" w:name="_Toc13069"/>
      <w:r>
        <w:rPr>
          <w:rFonts w:ascii="Times New Roman" w:hAnsi="Times New Roman" w:eastAsia="宋体" w:cs="Times New Roman"/>
        </w:rPr>
        <w:t>评审办法</w:t>
      </w:r>
      <w:bookmarkEnd w:id="53"/>
    </w:p>
    <w:p>
      <w:pPr>
        <w:rPr>
          <w:rFonts w:ascii="Times New Roman" w:hAnsi="Times New Roman" w:eastAsia="宋体" w:cs="Times New Roman"/>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afterLines="100" w:line="420" w:lineRule="exact"/>
        <w:jc w:val="center"/>
        <w:rPr>
          <w:rFonts w:ascii="Times New Roman" w:hAnsi="Times New Roman" w:eastAsia="黑体" w:cs="Times New Roman"/>
          <w:sz w:val="28"/>
          <w:szCs w:val="28"/>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综合评分法</w:t>
      </w:r>
      <w:r>
        <w:rPr>
          <w:rFonts w:hint="eastAsia" w:ascii="Times New Roman" w:hAnsi="Times New Roman" w:eastAsia="黑体" w:cs="Times New Roman"/>
          <w:color w:val="auto"/>
          <w:sz w:val="28"/>
          <w:szCs w:val="28"/>
          <w:highlight w:val="none"/>
          <w:lang w:eastAsia="zh-CN"/>
        </w:rPr>
        <w:t>）</w:t>
      </w:r>
    </w:p>
    <w:p>
      <w:pPr>
        <w:pStyle w:val="29"/>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4" w:name="_Toc144974496"/>
      <w:bookmarkStart w:id="55" w:name="_Toc447808662"/>
      <w:bookmarkStart w:id="56" w:name="_Toc14847"/>
      <w:bookmarkStart w:id="57" w:name="_Toc3834"/>
      <w:bookmarkStart w:id="58" w:name="_Toc152042304"/>
      <w:bookmarkStart w:id="59" w:name="_Toc457482536"/>
      <w:bookmarkStart w:id="60" w:name="_Toc152045528"/>
      <w:r>
        <w:rPr>
          <w:rFonts w:hint="eastAsia" w:ascii="宋体" w:hAnsi="宋体" w:eastAsia="宋体"/>
          <w:b/>
          <w:bCs/>
          <w:szCs w:val="28"/>
        </w:rPr>
        <w:t>前附表</w:t>
      </w:r>
      <w:bookmarkEnd w:id="54"/>
      <w:bookmarkEnd w:id="55"/>
      <w:bookmarkEnd w:id="56"/>
      <w:bookmarkEnd w:id="57"/>
      <w:bookmarkEnd w:id="58"/>
      <w:bookmarkEnd w:id="59"/>
      <w:bookmarkEnd w:id="60"/>
      <w:r>
        <w:rPr>
          <w:rFonts w:hint="eastAsia" w:ascii="宋体" w:hAnsi="宋体" w:eastAsia="宋体"/>
          <w:b/>
          <w:bCs/>
          <w:szCs w:val="28"/>
        </w:rPr>
        <w:t>A</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条款号</w:t>
            </w:r>
          </w:p>
        </w:tc>
        <w:tc>
          <w:tcPr>
            <w:tcW w:w="1774"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评审因素</w:t>
            </w:r>
          </w:p>
        </w:tc>
        <w:tc>
          <w:tcPr>
            <w:tcW w:w="5676"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1</w:t>
            </w:r>
          </w:p>
        </w:tc>
        <w:tc>
          <w:tcPr>
            <w:tcW w:w="1060"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评审方法</w:t>
            </w:r>
          </w:p>
        </w:tc>
        <w:tc>
          <w:tcPr>
            <w:tcW w:w="1774" w:type="dxa"/>
            <w:tcMar>
              <w:left w:w="75" w:type="dxa"/>
            </w:tcMar>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成交候选人</w:t>
            </w:r>
          </w:p>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排序方法</w:t>
            </w:r>
          </w:p>
        </w:tc>
        <w:tc>
          <w:tcPr>
            <w:tcW w:w="5676" w:type="dxa"/>
            <w:tcMar>
              <w:left w:w="75" w:type="dxa"/>
            </w:tcMar>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按综合得分由高到低的顺序推荐3名</w:t>
            </w:r>
            <w:r>
              <w:rPr>
                <w:rFonts w:hint="eastAsia" w:ascii="宋体" w:hAnsi="宋体" w:eastAsia="宋体" w:cs="宋体"/>
                <w:sz w:val="21"/>
                <w:szCs w:val="21"/>
                <w:lang w:val="en-US" w:eastAsia="zh-CN"/>
              </w:rPr>
              <w:t>成交</w:t>
            </w:r>
            <w:r>
              <w:rPr>
                <w:rFonts w:hint="eastAsia" w:ascii="宋体" w:hAnsi="宋体" w:eastAsia="宋体" w:cs="宋体"/>
                <w:sz w:val="21"/>
                <w:szCs w:val="21"/>
              </w:rPr>
              <w:t>候选人，不足3名则全部推荐。综合评分得分相等时，</w:t>
            </w:r>
            <w:r>
              <w:rPr>
                <w:rFonts w:hint="eastAsia" w:ascii="宋体" w:hAnsi="宋体" w:eastAsia="宋体" w:cs="宋体"/>
                <w:sz w:val="21"/>
                <w:szCs w:val="21"/>
                <w:lang w:val="en-US" w:eastAsia="zh-CN"/>
              </w:rPr>
              <w:t>评审</w:t>
            </w:r>
            <w:r>
              <w:rPr>
                <w:rFonts w:hint="eastAsia" w:ascii="宋体" w:hAnsi="宋体" w:eastAsia="宋体" w:cs="宋体"/>
                <w:sz w:val="21"/>
                <w:szCs w:val="21"/>
              </w:rPr>
              <w:t>委员会依次按照以下优先顺序推荐</w:t>
            </w:r>
            <w:r>
              <w:rPr>
                <w:rFonts w:hint="eastAsia" w:ascii="宋体" w:hAnsi="宋体" w:eastAsia="宋体" w:cs="宋体"/>
                <w:sz w:val="21"/>
                <w:szCs w:val="21"/>
                <w:lang w:val="en-US" w:eastAsia="zh-CN"/>
              </w:rPr>
              <w:t>成交</w:t>
            </w:r>
            <w:r>
              <w:rPr>
                <w:rFonts w:hint="eastAsia" w:ascii="宋体" w:hAnsi="宋体" w:eastAsia="宋体" w:cs="宋体"/>
                <w:sz w:val="21"/>
                <w:szCs w:val="21"/>
              </w:rPr>
              <w:t>候选人：</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响应报价低的投标人</w:t>
            </w:r>
            <w:r>
              <w:rPr>
                <w:rFonts w:hint="eastAsia" w:ascii="宋体" w:hAnsi="宋体" w:eastAsia="宋体" w:cs="宋体"/>
                <w:sz w:val="21"/>
                <w:szCs w:val="21"/>
                <w:highlight w:val="none"/>
              </w:rPr>
              <w:t>优先；</w:t>
            </w:r>
          </w:p>
          <w:p>
            <w:pPr>
              <w:spacing w:line="4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响应文件提供的合格业绩数量多的投标人优先</w:t>
            </w:r>
            <w:r>
              <w:rPr>
                <w:rFonts w:hint="eastAsia" w:ascii="宋体" w:hAnsi="宋体" w:eastAsia="宋体" w:cs="宋体"/>
                <w:sz w:val="21"/>
                <w:szCs w:val="21"/>
                <w:highlight w:val="none"/>
                <w:lang w:eastAsia="zh-CN"/>
              </w:rPr>
              <w:t>；</w:t>
            </w:r>
          </w:p>
          <w:p>
            <w:pPr>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）递交响应文件时间早的</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优先。</w:t>
            </w:r>
          </w:p>
        </w:tc>
      </w:tr>
    </w:tbl>
    <w:p>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1759"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659"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与营业执照、资质证书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盖章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装订</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符合第二章“</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须知”第3.</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响应文件格式</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符合第六章响应文件格式的规定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未出现投标报价</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商务技术文件中未出现有关投标报价的内容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096"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（1）报价未超过</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rPr>
              <w:t>设定的最高限价。</w:t>
            </w:r>
          </w:p>
          <w:p>
            <w:pPr>
              <w:widowControl/>
              <w:adjustRightInd w:val="0"/>
              <w:snapToGrid w:val="0"/>
              <w:spacing w:line="36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）同一</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未递交两个以上不同的报价。</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提供的书面</w:t>
            </w:r>
            <w:r>
              <w:rPr>
                <w:rFonts w:hint="eastAsia" w:ascii="宋体" w:hAnsi="宋体" w:eastAsia="宋体" w:cs="宋体"/>
                <w:color w:val="auto"/>
                <w:sz w:val="21"/>
                <w:szCs w:val="21"/>
                <w:highlight w:val="none"/>
                <w:lang w:eastAsia="zh-CN"/>
              </w:rPr>
              <w:t>报价清单</w:t>
            </w:r>
            <w:r>
              <w:rPr>
                <w:rFonts w:hint="eastAsia" w:ascii="宋体" w:hAnsi="宋体" w:eastAsia="宋体" w:cs="宋体"/>
                <w:color w:val="auto"/>
                <w:sz w:val="21"/>
                <w:szCs w:val="21"/>
                <w:highlight w:val="none"/>
                <w:lang w:val="en-US" w:eastAsia="zh-CN"/>
              </w:rPr>
              <w:t>填写了报价，且未修改报价清单说明、数量等实质性内容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询比文件</w:t>
            </w:r>
            <w:r>
              <w:rPr>
                <w:rFonts w:hint="eastAsia" w:ascii="宋体" w:hAnsi="宋体" w:eastAsia="宋体" w:cs="宋体"/>
                <w:color w:val="auto"/>
                <w:kern w:val="0"/>
                <w:sz w:val="21"/>
                <w:szCs w:val="21"/>
                <w:highlight w:val="none"/>
              </w:rPr>
              <w:t>的其他实质性要求和条件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4"/>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rPr>
              <w:t>响应文件不符合以上条件之一的，对该响应文件作否决其</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处理。</w:t>
            </w:r>
          </w:p>
        </w:tc>
      </w:tr>
    </w:tbl>
    <w:p>
      <w:pPr>
        <w:widowControl/>
        <w:spacing w:line="360" w:lineRule="atLeast"/>
        <w:jc w:val="center"/>
        <w:rPr>
          <w:rFonts w:ascii="Times New Roman" w:hAnsi="Times New Roman" w:cs="Times New Roma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9"/>
        <w:numPr>
          <w:ilvl w:val="0"/>
          <w:numId w:val="0"/>
        </w:numPr>
        <w:spacing w:before="0"/>
        <w:outlineLvl w:val="9"/>
        <w:rPr>
          <w:rFonts w:hint="eastAsia" w:ascii="宋体" w:hAnsi="宋体" w:eastAsia="宋体"/>
          <w:b/>
          <w:bCs/>
          <w:szCs w:val="28"/>
        </w:rPr>
      </w:pPr>
      <w:r>
        <w:rPr>
          <w:rFonts w:hint="eastAsia" w:ascii="宋体" w:hAnsi="宋体" w:eastAsia="宋体"/>
          <w:b/>
          <w:bCs/>
          <w:szCs w:val="28"/>
        </w:rPr>
        <w:t>前附表B</w:t>
      </w:r>
    </w:p>
    <w:tbl>
      <w:tblPr>
        <w:tblStyle w:val="20"/>
        <w:tblpPr w:leftFromText="180" w:rightFromText="180" w:vertAnchor="text" w:horzAnchor="page" w:tblpX="1860" w:tblpY="200"/>
        <w:tblOverlap w:val="never"/>
        <w:tblW w:w="53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60"/>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26" w:type="dxa"/>
            <w:vAlign w:val="center"/>
          </w:tcPr>
          <w:p>
            <w:pPr>
              <w:pStyle w:val="2"/>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条款号</w:t>
            </w:r>
          </w:p>
        </w:tc>
        <w:tc>
          <w:tcPr>
            <w:tcW w:w="1861" w:type="dxa"/>
            <w:vAlign w:val="center"/>
          </w:tcPr>
          <w:p>
            <w:pPr>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条款内容</w:t>
            </w:r>
          </w:p>
        </w:tc>
        <w:tc>
          <w:tcPr>
            <w:tcW w:w="6393" w:type="dxa"/>
            <w:vAlign w:val="center"/>
          </w:tcPr>
          <w:p>
            <w:pPr>
              <w:adjustRightIn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6"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w:t>
            </w:r>
          </w:p>
        </w:tc>
        <w:tc>
          <w:tcPr>
            <w:tcW w:w="186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分值构成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（总分100分）</w:t>
            </w:r>
          </w:p>
        </w:tc>
        <w:tc>
          <w:tcPr>
            <w:tcW w:w="6393" w:type="dxa"/>
            <w:vAlign w:val="center"/>
          </w:tcPr>
          <w:p>
            <w:pPr>
              <w:adjustRightInd w:val="0"/>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商务技术文件评分分值构成</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u w:val="single"/>
                <w:lang w:val="en-US" w:eastAsia="zh-CN"/>
              </w:rPr>
              <w:t xml:space="preserve">  20  </w:t>
            </w:r>
            <w:r>
              <w:rPr>
                <w:rFonts w:hint="eastAsia" w:ascii="宋体" w:hAnsi="宋体" w:eastAsia="宋体" w:cs="宋体"/>
                <w:b/>
                <w:bCs/>
                <w:sz w:val="21"/>
                <w:szCs w:val="21"/>
                <w:highlight w:val="none"/>
              </w:rPr>
              <w:t>分</w:t>
            </w:r>
          </w:p>
          <w:p>
            <w:pPr>
              <w:adjustRightIn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业    绩：</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6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w:t>
            </w:r>
          </w:p>
          <w:p>
            <w:pPr>
              <w:adjustRightIn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供货</w:t>
            </w:r>
            <w:r>
              <w:rPr>
                <w:rFonts w:hint="eastAsia" w:ascii="宋体" w:hAnsi="宋体" w:eastAsia="宋体" w:cs="宋体"/>
                <w:sz w:val="21"/>
                <w:szCs w:val="21"/>
                <w:highlight w:val="none"/>
              </w:rPr>
              <w:t>方案：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8</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w:t>
            </w:r>
          </w:p>
          <w:p>
            <w:pPr>
              <w:adjustRightIn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企业实力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6</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w:t>
            </w:r>
          </w:p>
          <w:p>
            <w:pPr>
              <w:adjustRightInd w:val="0"/>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报价文件评分分值构成：</w:t>
            </w:r>
            <w:r>
              <w:rPr>
                <w:rFonts w:hint="eastAsia" w:ascii="宋体" w:hAnsi="宋体" w:eastAsia="宋体" w:cs="宋体"/>
                <w:b/>
                <w:bCs/>
                <w:sz w:val="21"/>
                <w:szCs w:val="21"/>
                <w:highlight w:val="none"/>
                <w:u w:val="single"/>
                <w:lang w:val="en-US" w:eastAsia="zh-CN"/>
              </w:rPr>
              <w:t xml:space="preserve">   80  </w:t>
            </w:r>
            <w:r>
              <w:rPr>
                <w:rFonts w:hint="eastAsia" w:ascii="宋体" w:hAnsi="宋体" w:eastAsia="宋体" w:cs="宋体"/>
                <w:b/>
                <w:bCs/>
                <w:sz w:val="21"/>
                <w:szCs w:val="21"/>
                <w:highlight w:val="none"/>
              </w:rPr>
              <w:t>分</w:t>
            </w:r>
          </w:p>
          <w:p>
            <w:pPr>
              <w:adjustRightInd w:val="0"/>
              <w:spacing w:line="276" w:lineRule="auto"/>
              <w:jc w:val="both"/>
              <w:rPr>
                <w:rFonts w:hint="eastAsia" w:ascii="宋体" w:hAnsi="宋体" w:eastAsia="宋体" w:cs="宋体"/>
                <w:sz w:val="21"/>
                <w:szCs w:val="21"/>
                <w:lang w:val="en-US" w:eastAsia="zh-CN"/>
              </w:rPr>
            </w:pPr>
            <w:r>
              <w:rPr>
                <w:rFonts w:hint="eastAsia" w:ascii="宋体" w:hAnsi="宋体" w:eastAsia="宋体" w:cs="宋体"/>
                <w:sz w:val="21"/>
                <w:szCs w:val="21"/>
                <w:highlight w:val="none"/>
              </w:rPr>
              <w:t>评标价：</w:t>
            </w:r>
            <w:r>
              <w:rPr>
                <w:rFonts w:hint="eastAsia" w:ascii="宋体" w:hAnsi="宋体" w:eastAsia="宋体" w:cs="宋体"/>
                <w:sz w:val="21"/>
                <w:szCs w:val="21"/>
                <w:highlight w:val="none"/>
                <w:u w:val="single"/>
                <w:lang w:val="en-US" w:eastAsia="zh-CN"/>
              </w:rPr>
              <w:t xml:space="preserve">   80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6"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w:t>
            </w:r>
          </w:p>
        </w:tc>
        <w:tc>
          <w:tcPr>
            <w:tcW w:w="186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评标基准价计算方法</w:t>
            </w:r>
          </w:p>
        </w:tc>
        <w:tc>
          <w:tcPr>
            <w:tcW w:w="6393" w:type="dxa"/>
            <w:vAlign w:val="center"/>
          </w:tcPr>
          <w:p>
            <w:pPr>
              <w:adjustRightInd w:val="0"/>
              <w:spacing w:line="271" w:lineRule="auto"/>
              <w:jc w:val="left"/>
              <w:rPr>
                <w:rFonts w:hint="eastAsia" w:ascii="宋体" w:hAnsi="宋体" w:eastAsia="宋体" w:cs="宋体"/>
                <w:sz w:val="21"/>
                <w:szCs w:val="21"/>
              </w:rPr>
            </w:pPr>
            <w:r>
              <w:rPr>
                <w:rFonts w:hint="eastAsia" w:ascii="宋体" w:hAnsi="宋体" w:eastAsia="宋体" w:cs="宋体"/>
                <w:sz w:val="21"/>
                <w:szCs w:val="21"/>
              </w:rPr>
              <w:t>（1）评标价的确定：</w:t>
            </w:r>
          </w:p>
          <w:p>
            <w:pPr>
              <w:adjustRightInd w:val="0"/>
              <w:spacing w:line="271" w:lineRule="auto"/>
              <w:jc w:val="left"/>
              <w:rPr>
                <w:rFonts w:hint="eastAsia" w:ascii="宋体" w:hAnsi="宋体" w:eastAsia="宋体" w:cs="宋体"/>
                <w:sz w:val="21"/>
                <w:szCs w:val="21"/>
              </w:rPr>
            </w:pPr>
            <w:r>
              <w:rPr>
                <w:rFonts w:hint="eastAsia" w:ascii="宋体" w:hAnsi="宋体" w:eastAsia="宋体" w:cs="宋体"/>
                <w:sz w:val="21"/>
                <w:szCs w:val="21"/>
              </w:rPr>
              <w:t>评标价＝投标函文字报价</w:t>
            </w:r>
          </w:p>
          <w:p>
            <w:pPr>
              <w:adjustRightInd w:val="0"/>
              <w:spacing w:line="271" w:lineRule="auto"/>
              <w:jc w:val="left"/>
              <w:rPr>
                <w:rFonts w:hint="eastAsia" w:ascii="宋体" w:hAnsi="宋体" w:eastAsia="宋体" w:cs="宋体"/>
                <w:sz w:val="21"/>
                <w:szCs w:val="21"/>
              </w:rPr>
            </w:pPr>
            <w:r>
              <w:rPr>
                <w:rFonts w:hint="eastAsia" w:ascii="宋体" w:hAnsi="宋体" w:eastAsia="宋体" w:cs="宋体"/>
                <w:sz w:val="21"/>
                <w:szCs w:val="21"/>
              </w:rPr>
              <w:t>（2）评标价平均值Bi的计算：</w:t>
            </w:r>
          </w:p>
          <w:p>
            <w:pPr>
              <w:jc w:val="left"/>
              <w:rPr>
                <w:rFonts w:hint="eastAsia" w:ascii="宋体" w:hAnsi="宋体" w:eastAsia="宋体" w:cs="宋体"/>
                <w:sz w:val="21"/>
                <w:szCs w:val="21"/>
                <w:lang w:eastAsia="zh-CN"/>
              </w:rPr>
            </w:pPr>
            <w:r>
              <w:rPr>
                <w:rFonts w:hint="eastAsia" w:ascii="宋体" w:hAnsi="宋体" w:eastAsia="宋体" w:cs="宋体"/>
                <w:sz w:val="21"/>
                <w:szCs w:val="21"/>
                <w:highlight w:val="none"/>
              </w:rPr>
              <w:t>除开标现场被宣布为</w:t>
            </w:r>
            <w:r>
              <w:rPr>
                <w:rFonts w:hint="eastAsia" w:ascii="宋体" w:hAnsi="宋体" w:eastAsia="宋体" w:cs="宋体"/>
                <w:sz w:val="21"/>
                <w:szCs w:val="21"/>
              </w:rPr>
              <w:t>不进入评标基准价计算的投标报价之外，</w:t>
            </w:r>
            <w:r>
              <w:rPr>
                <w:rFonts w:hint="eastAsia" w:ascii="宋体" w:hAnsi="宋体" w:eastAsia="宋体" w:cs="宋体"/>
                <w:sz w:val="21"/>
                <w:szCs w:val="21"/>
                <w:lang w:val="en-US" w:eastAsia="zh-CN"/>
              </w:rPr>
              <w:t>对投标人的</w:t>
            </w:r>
            <w:r>
              <w:rPr>
                <w:rFonts w:hint="eastAsia" w:ascii="宋体" w:hAnsi="宋体" w:eastAsia="宋体" w:cs="宋体"/>
                <w:sz w:val="21"/>
                <w:szCs w:val="21"/>
              </w:rPr>
              <w:t>评标价</w:t>
            </w:r>
            <w:r>
              <w:rPr>
                <w:rFonts w:hint="eastAsia" w:ascii="宋体" w:hAnsi="宋体" w:eastAsia="宋体" w:cs="宋体"/>
                <w:sz w:val="21"/>
                <w:szCs w:val="21"/>
                <w:lang w:val="en-US" w:eastAsia="zh-CN"/>
              </w:rPr>
              <w:t>排序后</w:t>
            </w:r>
            <w:r>
              <w:rPr>
                <w:rFonts w:hint="eastAsia" w:ascii="宋体" w:hAnsi="宋体" w:eastAsia="宋体" w:cs="宋体"/>
                <w:sz w:val="21"/>
                <w:szCs w:val="21"/>
              </w:rPr>
              <w:t>分别去除最高值（由高到低）和最低值（由低到高），剩余投标人评标价的算术平均值为评标价平均值Bi（如果</w:t>
            </w:r>
            <w:r>
              <w:rPr>
                <w:rFonts w:hint="eastAsia" w:ascii="宋体" w:hAnsi="宋体" w:eastAsia="宋体" w:cs="宋体"/>
                <w:sz w:val="21"/>
                <w:szCs w:val="21"/>
                <w:lang w:val="en-US" w:eastAsia="zh-CN"/>
              </w:rPr>
              <w:t>参与评标价平均值计算的有效投标人少于等于</w:t>
            </w:r>
            <w:r>
              <w:rPr>
                <w:rFonts w:hint="eastAsia" w:ascii="宋体" w:hAnsi="宋体" w:eastAsia="宋体" w:cs="宋体"/>
                <w:sz w:val="21"/>
                <w:szCs w:val="21"/>
              </w:rPr>
              <w:t>5</w:t>
            </w:r>
            <w:r>
              <w:rPr>
                <w:rFonts w:hint="eastAsia" w:ascii="宋体" w:hAnsi="宋体" w:eastAsia="宋体" w:cs="宋体"/>
                <w:sz w:val="21"/>
                <w:szCs w:val="21"/>
                <w:lang w:val="en-US" w:eastAsia="zh-CN"/>
              </w:rPr>
              <w:t>家</w:t>
            </w:r>
            <w:r>
              <w:rPr>
                <w:rFonts w:hint="eastAsia" w:ascii="宋体" w:hAnsi="宋体" w:eastAsia="宋体" w:cs="宋体"/>
                <w:sz w:val="21"/>
                <w:szCs w:val="21"/>
              </w:rPr>
              <w:t>时，则计算评标价平均值时不去掉最高值和最低值）</w:t>
            </w:r>
            <w:r>
              <w:rPr>
                <w:rFonts w:hint="eastAsia" w:ascii="宋体" w:hAnsi="宋体" w:eastAsia="宋体" w:cs="宋体"/>
                <w:sz w:val="21"/>
                <w:szCs w:val="21"/>
                <w:lang w:eastAsia="zh-CN"/>
              </w:rPr>
              <w:t>。</w:t>
            </w:r>
          </w:p>
          <w:p>
            <w:pPr>
              <w:adjustRightInd w:val="0"/>
              <w:spacing w:line="271" w:lineRule="auto"/>
              <w:jc w:val="left"/>
              <w:rPr>
                <w:rFonts w:hint="eastAsia" w:ascii="宋体" w:hAnsi="宋体" w:eastAsia="宋体" w:cs="宋体"/>
                <w:sz w:val="21"/>
                <w:szCs w:val="21"/>
              </w:rPr>
            </w:pPr>
            <w:r>
              <w:rPr>
                <w:rFonts w:hint="eastAsia" w:ascii="宋体" w:hAnsi="宋体" w:eastAsia="宋体" w:cs="宋体"/>
                <w:sz w:val="21"/>
                <w:szCs w:val="21"/>
              </w:rPr>
              <w:t>（3）评标基准价的确定：</w:t>
            </w:r>
          </w:p>
          <w:p>
            <w:pPr>
              <w:jc w:val="left"/>
              <w:rPr>
                <w:rFonts w:hint="eastAsia" w:ascii="宋体" w:hAnsi="宋体" w:eastAsia="宋体" w:cs="宋体"/>
                <w:sz w:val="21"/>
                <w:szCs w:val="21"/>
              </w:rPr>
            </w:pPr>
            <w:r>
              <w:rPr>
                <w:rFonts w:hint="eastAsia" w:ascii="宋体" w:hAnsi="宋体" w:eastAsia="宋体" w:cs="宋体"/>
                <w:sz w:val="21"/>
                <w:szCs w:val="21"/>
              </w:rPr>
              <w:t>评标价的算术平均值Bi值即为评标基准价。</w:t>
            </w:r>
          </w:p>
          <w:p>
            <w:pPr>
              <w:adjustRightInd w:val="0"/>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26"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2.2.3</w:t>
            </w:r>
          </w:p>
        </w:tc>
        <w:tc>
          <w:tcPr>
            <w:tcW w:w="186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评标价的偏差率计算公式</w:t>
            </w:r>
          </w:p>
        </w:tc>
        <w:tc>
          <w:tcPr>
            <w:tcW w:w="6393" w:type="dxa"/>
            <w:vAlign w:val="center"/>
          </w:tcPr>
          <w:p>
            <w:pPr>
              <w:spacing w:line="288" w:lineRule="auto"/>
              <w:rPr>
                <w:rFonts w:hint="eastAsia" w:ascii="宋体" w:hAnsi="宋体" w:eastAsia="宋体" w:cs="宋体"/>
                <w:sz w:val="21"/>
                <w:szCs w:val="21"/>
              </w:rPr>
            </w:pPr>
            <w:r>
              <w:rPr>
                <w:rFonts w:hint="eastAsia" w:ascii="宋体" w:hAnsi="宋体" w:eastAsia="宋体" w:cs="宋体"/>
                <w:sz w:val="21"/>
                <w:szCs w:val="21"/>
              </w:rPr>
              <w:t>偏差率=100% ×（投标人报价－评标基准价）/评标基准价</w:t>
            </w:r>
          </w:p>
          <w:p>
            <w:pPr>
              <w:adjustRightInd w:val="0"/>
              <w:spacing w:line="276" w:lineRule="auto"/>
              <w:jc w:val="both"/>
              <w:rPr>
                <w:rFonts w:hint="eastAsia" w:ascii="宋体" w:hAnsi="宋体" w:eastAsia="宋体" w:cs="宋体"/>
                <w:sz w:val="21"/>
                <w:szCs w:val="21"/>
              </w:rPr>
            </w:pPr>
            <w:r>
              <w:rPr>
                <w:rFonts w:hint="eastAsia" w:ascii="宋体" w:hAnsi="宋体" w:eastAsia="宋体" w:cs="宋体"/>
                <w:sz w:val="21"/>
                <w:szCs w:val="21"/>
              </w:rPr>
              <w:t>（%保留2位小数）</w:t>
            </w:r>
          </w:p>
        </w:tc>
      </w:tr>
    </w:tbl>
    <w:tbl>
      <w:tblPr>
        <w:tblStyle w:val="20"/>
        <w:tblpPr w:leftFromText="180" w:rightFromText="180" w:vertAnchor="text" w:horzAnchor="page" w:tblpX="1763" w:tblpY="284"/>
        <w:tblOverlap w:val="never"/>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2"/>
        <w:gridCol w:w="899"/>
        <w:gridCol w:w="1650"/>
        <w:gridCol w:w="5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blHeader/>
        </w:trPr>
        <w:tc>
          <w:tcPr>
            <w:tcW w:w="987" w:type="pct"/>
            <w:gridSpan w:val="2"/>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条款号</w:t>
            </w:r>
          </w:p>
        </w:tc>
        <w:tc>
          <w:tcPr>
            <w:tcW w:w="899"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3113"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7" w:type="pct"/>
            <w:vMerge w:val="restar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2.2.4</w:t>
            </w:r>
          </w:p>
          <w:p>
            <w:pPr>
              <w:pStyle w:val="2"/>
              <w:adjustRightInd w:val="0"/>
              <w:snapToGrid w:val="0"/>
              <w:rPr>
                <w:rFonts w:hint="eastAsia" w:ascii="宋体" w:hAnsi="宋体" w:eastAsia="宋体" w:cs="宋体"/>
                <w:sz w:val="21"/>
                <w:szCs w:val="21"/>
                <w:highlight w:val="none"/>
              </w:rPr>
            </w:pPr>
          </w:p>
        </w:tc>
        <w:tc>
          <w:tcPr>
            <w:tcW w:w="490" w:type="pct"/>
            <w:vMerge w:val="restart"/>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商务技术  文件</w:t>
            </w: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p>
            <w:pPr>
              <w:pStyle w:val="2"/>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6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3" w:type="pct"/>
            <w:vAlign w:val="center"/>
          </w:tcPr>
          <w:p>
            <w:pPr>
              <w:pStyle w:val="2"/>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满足资格审查条件业绩最低要求得</w:t>
            </w:r>
            <w:r>
              <w:rPr>
                <w:rFonts w:hint="eastAsia" w:ascii="宋体" w:hAnsi="宋体" w:eastAsia="宋体" w:cs="宋体"/>
                <w:sz w:val="21"/>
                <w:szCs w:val="21"/>
                <w:highlight w:val="none"/>
                <w:u w:val="single"/>
                <w:lang w:val="en-US" w:eastAsia="zh-CN"/>
              </w:rPr>
              <w:t xml:space="preserve">  2  </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在此基础上，</w:t>
            </w:r>
            <w:r>
              <w:rPr>
                <w:rFonts w:hint="eastAsia" w:ascii="宋体" w:hAnsi="宋体" w:eastAsia="宋体" w:cs="宋体"/>
                <w:color w:val="auto"/>
                <w:sz w:val="21"/>
                <w:szCs w:val="21"/>
                <w:highlight w:val="none"/>
                <w:lang w:val="en-US" w:eastAsia="zh-CN"/>
              </w:rPr>
              <w:t>每多提供一个业绩加</w:t>
            </w:r>
            <w:r>
              <w:rPr>
                <w:rFonts w:hint="eastAsia" w:ascii="宋体" w:hAnsi="宋体" w:eastAsia="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u w:val="single"/>
                <w:lang w:val="en-US" w:eastAsia="zh-CN"/>
              </w:rPr>
              <w:t xml:space="preserve"> 6  </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供货方案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8  </w:t>
            </w:r>
            <w:r>
              <w:rPr>
                <w:rFonts w:hint="eastAsia" w:ascii="宋体" w:hAnsi="宋体" w:eastAsia="宋体" w:cs="宋体"/>
                <w:sz w:val="21"/>
                <w:szCs w:val="21"/>
                <w:highlight w:val="none"/>
              </w:rPr>
              <w:t>分）</w:t>
            </w:r>
          </w:p>
        </w:tc>
        <w:tc>
          <w:tcPr>
            <w:tcW w:w="3113" w:type="pct"/>
            <w:vAlign w:val="center"/>
          </w:tcPr>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1、针对本项目设施设备的生产、供货计划具体、详细，可行性最优，针对性强得1（不含）-2（含）分；一般得0（含）-1（不含）分，较差得0分。</w:t>
            </w:r>
          </w:p>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2、针对本项目的设施设备质量保证措施、运输、装卸及安装的安全保证措施，具体、详细，可行性最优，针对性强得1（不含）-2（含）分；一般得0（含）-1（不含）分，较差得0分。</w:t>
            </w:r>
          </w:p>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3、针对本项目的设施设备使用的技术服务与培训方案具体、详细，针对性强得1（不含）-2（含）分；一般得0（含）-1（不含）分，较差得0分。</w:t>
            </w:r>
          </w:p>
          <w:p>
            <w:pPr>
              <w:pStyle w:val="2"/>
              <w:adjustRightInd w:val="0"/>
              <w:snapToGrid w:val="0"/>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4、针对本项目售后服务方案（包括备品备件、设备损坏维修及更换、应急处理、售后服务响应等内容）具体、详细，可行性最优，针对性强得1（不含）-2（含）分；一般得0（含）-1（不含）分，较差得0分。</w:t>
            </w:r>
            <w:r>
              <w:rPr>
                <w:rFonts w:hint="eastAsia" w:ascii="宋体" w:hAnsi="宋体" w:eastAsia="宋体" w:cs="宋体"/>
                <w:sz w:val="21"/>
                <w:szCs w:val="21"/>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1" w:hRule="atLeast"/>
        </w:trPr>
        <w:tc>
          <w:tcPr>
            <w:tcW w:w="497"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u w:val="none"/>
                <w:lang w:val="en-US" w:eastAsia="zh-CN" w:bidi="ar"/>
              </w:rPr>
              <w:t>检测报告、认证证书</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（满分</w:t>
            </w:r>
            <w:r>
              <w:rPr>
                <w:rFonts w:hint="eastAsia" w:ascii="宋体" w:hAnsi="宋体" w:eastAsia="宋体" w:cs="宋体"/>
                <w:sz w:val="21"/>
                <w:szCs w:val="21"/>
                <w:highlight w:val="none"/>
                <w:u w:val="single"/>
                <w:lang w:val="en-US" w:eastAsia="zh-CN"/>
              </w:rPr>
              <w:t xml:space="preserve"> 6 </w:t>
            </w:r>
            <w:r>
              <w:rPr>
                <w:rFonts w:hint="eastAsia" w:ascii="宋体" w:hAnsi="宋体" w:eastAsia="宋体" w:cs="宋体"/>
                <w:sz w:val="21"/>
                <w:szCs w:val="21"/>
                <w:highlight w:val="none"/>
              </w:rPr>
              <w:t>分）</w:t>
            </w:r>
          </w:p>
        </w:tc>
        <w:tc>
          <w:tcPr>
            <w:tcW w:w="3113" w:type="pct"/>
            <w:vAlign w:val="center"/>
          </w:tcPr>
          <w:p>
            <w:pPr>
              <w:pStyle w:val="2"/>
              <w:adjustRightInd w:val="0"/>
              <w:snapToGrid w:val="0"/>
              <w:ind w:firstLine="210" w:firstLineChars="100"/>
              <w:jc w:val="left"/>
              <w:rPr>
                <w:rFonts w:hint="eastAsia"/>
                <w:lang w:val="en-US" w:eastAsia="zh-CN"/>
              </w:rPr>
            </w:pPr>
            <w:r>
              <w:rPr>
                <w:rFonts w:hint="eastAsia" w:ascii="宋体" w:hAnsi="宋体" w:eastAsia="宋体" w:cs="宋体"/>
                <w:lang w:val="en-US" w:eastAsia="zh-CN"/>
              </w:rPr>
              <w:t>1</w:t>
            </w:r>
            <w:r>
              <w:rPr>
                <w:rFonts w:hint="eastAsia"/>
                <w:lang w:val="en-US" w:eastAsia="zh-CN"/>
              </w:rPr>
              <w:t>、响应人或厂家授权响应人持有2020年以来具有“CMA”或“CNAS”标识的商用蒸饭车抽查检测合格报告的得2分。</w:t>
            </w:r>
          </w:p>
          <w:p>
            <w:pPr>
              <w:pStyle w:val="2"/>
              <w:adjustRightInd w:val="0"/>
              <w:snapToGrid w:val="0"/>
              <w:ind w:firstLine="210" w:firstLineChars="100"/>
              <w:jc w:val="left"/>
              <w:rPr>
                <w:rFonts w:hint="eastAsia"/>
                <w:lang w:val="en-US" w:eastAsia="zh-CN"/>
              </w:rPr>
            </w:pPr>
            <w:r>
              <w:rPr>
                <w:rFonts w:hint="eastAsia" w:ascii="宋体" w:hAnsi="宋体" w:eastAsia="宋体" w:cs="宋体"/>
                <w:lang w:val="en-US" w:eastAsia="zh-CN"/>
              </w:rPr>
              <w:t>2</w:t>
            </w:r>
            <w:r>
              <w:rPr>
                <w:rFonts w:hint="eastAsia"/>
                <w:lang w:val="en-US" w:eastAsia="zh-CN"/>
              </w:rPr>
              <w:t>、响应人或厂家授权响应人持有2020年以来具有市级(含)以上产品质量监督部门(具有CNAS或CMA标识)检测合格出具的商用食具消毒柜的检验报告，得2分。</w:t>
            </w:r>
          </w:p>
          <w:p>
            <w:pPr>
              <w:pStyle w:val="2"/>
              <w:adjustRightInd w:val="0"/>
              <w:snapToGrid w:val="0"/>
              <w:ind w:firstLine="210" w:firstLineChars="100"/>
              <w:jc w:val="left"/>
              <w:rPr>
                <w:rFonts w:hint="eastAsia"/>
                <w:lang w:val="en-US" w:eastAsia="zh-CN"/>
              </w:rPr>
            </w:pPr>
            <w:r>
              <w:rPr>
                <w:rFonts w:hint="eastAsia"/>
                <w:lang w:val="en-US" w:eastAsia="zh-CN"/>
              </w:rPr>
              <w:t>3、响应人或厂家授权响应人持有所投净饮一体机产品具有一级水效认证的，卫生安全性检测报告，每个得 1 分，本项满分2分。</w:t>
            </w:r>
          </w:p>
          <w:p>
            <w:pPr>
              <w:pStyle w:val="2"/>
              <w:adjustRightInd w:val="0"/>
              <w:snapToGrid w:val="0"/>
              <w:ind w:firstLine="210" w:firstLineChars="100"/>
              <w:jc w:val="left"/>
              <w:rPr>
                <w:rFonts w:hint="default"/>
                <w:lang w:val="en-US" w:eastAsia="zh-CN"/>
              </w:rPr>
            </w:pPr>
            <w:r>
              <w:rPr>
                <w:rFonts w:hint="eastAsia"/>
                <w:lang w:val="en-US" w:eastAsia="zh-CN"/>
              </w:rPr>
              <w:t>注：响应文件中提供证书扫描件或影印件。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9" w:hRule="atLeast"/>
        </w:trPr>
        <w:tc>
          <w:tcPr>
            <w:tcW w:w="497"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2.2.5</w:t>
            </w:r>
          </w:p>
        </w:tc>
        <w:tc>
          <w:tcPr>
            <w:tcW w:w="490"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报价文件</w:t>
            </w:r>
          </w:p>
        </w:tc>
        <w:tc>
          <w:tcPr>
            <w:tcW w:w="899" w:type="pct"/>
            <w:vAlign w:val="center"/>
          </w:tcPr>
          <w:p>
            <w:pPr>
              <w:pStyle w:val="2"/>
              <w:adjustRightInd w:val="0"/>
              <w:snapToGrid w:val="0"/>
              <w:ind w:left="210" w:hanging="210" w:hangingChars="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val="en-US" w:eastAsia="zh-CN"/>
              </w:rPr>
              <w:t xml:space="preserve">文件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80 </w:t>
            </w:r>
            <w:r>
              <w:rPr>
                <w:rFonts w:hint="eastAsia" w:ascii="宋体" w:hAnsi="宋体" w:eastAsia="宋体" w:cs="宋体"/>
                <w:sz w:val="21"/>
                <w:szCs w:val="21"/>
                <w:highlight w:val="none"/>
              </w:rPr>
              <w:t>分）</w:t>
            </w:r>
          </w:p>
        </w:tc>
        <w:tc>
          <w:tcPr>
            <w:tcW w:w="3113" w:type="pct"/>
            <w:vAlign w:val="center"/>
          </w:tcPr>
          <w:p>
            <w:pPr>
              <w:spacing w:line="288" w:lineRule="auto"/>
              <w:rPr>
                <w:rFonts w:hint="eastAsia" w:ascii="宋体" w:hAnsi="宋体" w:eastAsia="宋体" w:cs="宋体"/>
                <w:sz w:val="21"/>
                <w:szCs w:val="21"/>
              </w:rPr>
            </w:pPr>
            <w:r>
              <w:rPr>
                <w:rFonts w:hint="eastAsia" w:ascii="宋体" w:hAnsi="宋体" w:eastAsia="宋体" w:cs="宋体"/>
                <w:sz w:val="21"/>
                <w:szCs w:val="21"/>
              </w:rPr>
              <w:t>评标价得分计算公式示例：</w:t>
            </w:r>
          </w:p>
          <w:p>
            <w:pPr>
              <w:spacing w:line="288" w:lineRule="auto"/>
              <w:rPr>
                <w:rFonts w:hint="eastAsia" w:ascii="宋体" w:hAnsi="宋体" w:eastAsia="宋体" w:cs="宋体"/>
                <w:sz w:val="21"/>
                <w:szCs w:val="21"/>
              </w:rPr>
            </w:pPr>
            <w:r>
              <w:rPr>
                <w:rFonts w:hint="eastAsia" w:ascii="宋体" w:hAnsi="宋体" w:eastAsia="宋体" w:cs="宋体"/>
                <w:sz w:val="21"/>
                <w:szCs w:val="21"/>
              </w:rPr>
              <w:t>（1）如果投标人的评标价＞评标基准价，则评标价得分＝</w:t>
            </w:r>
            <w:r>
              <w:rPr>
                <w:rFonts w:hint="eastAsia" w:ascii="宋体" w:hAnsi="宋体" w:eastAsia="宋体" w:cs="宋体"/>
                <w:sz w:val="21"/>
                <w:szCs w:val="21"/>
                <w:u w:val="single"/>
                <w:lang w:val="en-US" w:eastAsia="zh-CN"/>
              </w:rPr>
              <w:t xml:space="preserve"> 80  </w:t>
            </w:r>
            <w:r>
              <w:rPr>
                <w:rFonts w:hint="eastAsia" w:ascii="宋体" w:hAnsi="宋体" w:eastAsia="宋体" w:cs="宋体"/>
                <w:sz w:val="21"/>
                <w:szCs w:val="21"/>
              </w:rPr>
              <w:t>－偏差率×100×E</w:t>
            </w:r>
            <w:r>
              <w:rPr>
                <w:rFonts w:hint="eastAsia" w:ascii="宋体" w:hAnsi="宋体" w:eastAsia="宋体" w:cs="宋体"/>
                <w:sz w:val="21"/>
                <w:szCs w:val="21"/>
                <w:vertAlign w:val="subscript"/>
              </w:rPr>
              <w:t>1</w:t>
            </w:r>
            <w:r>
              <w:rPr>
                <w:rFonts w:hint="eastAsia" w:ascii="宋体" w:hAnsi="宋体" w:eastAsia="宋体" w:cs="宋体"/>
                <w:sz w:val="21"/>
                <w:szCs w:val="21"/>
              </w:rPr>
              <w:t xml:space="preserve">； </w:t>
            </w:r>
          </w:p>
          <w:p>
            <w:pPr>
              <w:spacing w:line="288" w:lineRule="auto"/>
              <w:rPr>
                <w:rFonts w:hint="eastAsia" w:ascii="宋体" w:hAnsi="宋体" w:eastAsia="宋体" w:cs="宋体"/>
                <w:sz w:val="21"/>
                <w:szCs w:val="21"/>
              </w:rPr>
            </w:pPr>
            <w:r>
              <w:rPr>
                <w:rFonts w:hint="eastAsia" w:ascii="宋体" w:hAnsi="宋体" w:eastAsia="宋体" w:cs="宋体"/>
                <w:sz w:val="21"/>
                <w:szCs w:val="21"/>
              </w:rPr>
              <w:t>（2）如果投标人的评标价≤评标基准价，则评标价得分＝</w:t>
            </w:r>
            <w:r>
              <w:rPr>
                <w:rFonts w:hint="eastAsia" w:ascii="宋体" w:hAnsi="宋体" w:eastAsia="宋体" w:cs="宋体"/>
                <w:sz w:val="21"/>
                <w:szCs w:val="21"/>
                <w:u w:val="single"/>
                <w:lang w:val="en-US" w:eastAsia="zh-CN"/>
              </w:rPr>
              <w:t xml:space="preserve"> 80  </w:t>
            </w:r>
            <w:r>
              <w:rPr>
                <w:rFonts w:hint="eastAsia" w:ascii="宋体" w:hAnsi="宋体" w:eastAsia="宋体" w:cs="宋体"/>
                <w:sz w:val="21"/>
                <w:szCs w:val="21"/>
              </w:rPr>
              <w:t>＋偏差率×100×E</w:t>
            </w:r>
            <w:r>
              <w:rPr>
                <w:rFonts w:hint="eastAsia" w:ascii="宋体" w:hAnsi="宋体" w:eastAsia="宋体" w:cs="宋体"/>
                <w:sz w:val="21"/>
                <w:szCs w:val="21"/>
                <w:vertAlign w:val="subscript"/>
              </w:rPr>
              <w:t>2</w:t>
            </w:r>
            <w:r>
              <w:rPr>
                <w:rFonts w:hint="eastAsia" w:ascii="宋体" w:hAnsi="宋体" w:eastAsia="宋体" w:cs="宋体"/>
                <w:sz w:val="21"/>
                <w:szCs w:val="21"/>
              </w:rPr>
              <w:t>；</w:t>
            </w:r>
          </w:p>
          <w:p>
            <w:pPr>
              <w:spacing w:line="288" w:lineRule="auto"/>
              <w:rPr>
                <w:rFonts w:hint="eastAsia" w:ascii="宋体" w:hAnsi="宋体" w:eastAsia="宋体" w:cs="宋体"/>
                <w:sz w:val="21"/>
                <w:szCs w:val="21"/>
              </w:rPr>
            </w:pPr>
            <w:r>
              <w:rPr>
                <w:rFonts w:hint="eastAsia" w:ascii="宋体" w:hAnsi="宋体" w:eastAsia="宋体" w:cs="宋体"/>
                <w:sz w:val="21"/>
                <w:szCs w:val="21"/>
              </w:rPr>
              <w:t>其中：E</w:t>
            </w:r>
            <w:r>
              <w:rPr>
                <w:rFonts w:hint="eastAsia" w:ascii="宋体" w:hAnsi="宋体" w:eastAsia="宋体" w:cs="宋体"/>
                <w:sz w:val="21"/>
                <w:szCs w:val="21"/>
                <w:vertAlign w:val="subscript"/>
              </w:rPr>
              <w:t>1</w:t>
            </w:r>
            <w:r>
              <w:rPr>
                <w:rFonts w:hint="eastAsia" w:ascii="宋体" w:hAnsi="宋体" w:eastAsia="宋体" w:cs="宋体"/>
                <w:sz w:val="21"/>
                <w:szCs w:val="21"/>
              </w:rPr>
              <w:t>是评标价每高于评标基准价一个百分点的扣分值；E</w:t>
            </w:r>
            <w:r>
              <w:rPr>
                <w:rFonts w:hint="eastAsia" w:ascii="宋体" w:hAnsi="宋体" w:eastAsia="宋体" w:cs="宋体"/>
                <w:sz w:val="21"/>
                <w:szCs w:val="21"/>
                <w:vertAlign w:val="subscript"/>
              </w:rPr>
              <w:t>2</w:t>
            </w:r>
            <w:r>
              <w:rPr>
                <w:rFonts w:hint="eastAsia" w:ascii="宋体" w:hAnsi="宋体" w:eastAsia="宋体" w:cs="宋体"/>
                <w:sz w:val="21"/>
                <w:szCs w:val="21"/>
              </w:rPr>
              <w:t>是评标价每低于评标基准价一个百分点的扣分值。</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highlight w:val="yellow"/>
              </w:rPr>
              <w:t>E</w:t>
            </w:r>
            <w:r>
              <w:rPr>
                <w:rFonts w:hint="eastAsia" w:ascii="宋体" w:hAnsi="宋体" w:eastAsia="宋体" w:cs="宋体"/>
                <w:sz w:val="21"/>
                <w:szCs w:val="21"/>
                <w:highlight w:val="yellow"/>
                <w:vertAlign w:val="subscript"/>
              </w:rPr>
              <w:t>1</w:t>
            </w:r>
            <w:r>
              <w:rPr>
                <w:rFonts w:hint="eastAsia" w:ascii="宋体" w:hAnsi="宋体" w:eastAsia="宋体" w:cs="宋体"/>
                <w:sz w:val="21"/>
                <w:szCs w:val="21"/>
                <w:highlight w:val="yellow"/>
              </w:rPr>
              <w:t>=</w:t>
            </w:r>
            <w:r>
              <w:rPr>
                <w:rFonts w:hint="eastAsia" w:ascii="宋体" w:hAnsi="宋体" w:eastAsia="宋体" w:cs="宋体"/>
                <w:sz w:val="21"/>
                <w:szCs w:val="21"/>
                <w:highlight w:val="yellow"/>
                <w:u w:val="single"/>
                <w:lang w:val="en-US" w:eastAsia="zh-CN"/>
              </w:rPr>
              <w:t xml:space="preserve">  0.6  </w:t>
            </w:r>
            <w:r>
              <w:rPr>
                <w:rFonts w:hint="eastAsia" w:ascii="宋体" w:hAnsi="宋体" w:eastAsia="宋体" w:cs="宋体"/>
                <w:sz w:val="21"/>
                <w:szCs w:val="21"/>
                <w:highlight w:val="yellow"/>
              </w:rPr>
              <w:t>，E</w:t>
            </w:r>
            <w:r>
              <w:rPr>
                <w:rFonts w:hint="eastAsia" w:ascii="宋体" w:hAnsi="宋体" w:eastAsia="宋体" w:cs="宋体"/>
                <w:sz w:val="21"/>
                <w:szCs w:val="21"/>
                <w:highlight w:val="yellow"/>
                <w:vertAlign w:val="subscript"/>
              </w:rPr>
              <w:t>2</w:t>
            </w:r>
            <w:r>
              <w:rPr>
                <w:rFonts w:hint="eastAsia" w:ascii="宋体" w:hAnsi="宋体" w:eastAsia="宋体" w:cs="宋体"/>
                <w:sz w:val="21"/>
                <w:szCs w:val="21"/>
                <w:highlight w:val="yellow"/>
              </w:rPr>
              <w:t>=</w:t>
            </w:r>
            <w:r>
              <w:rPr>
                <w:rFonts w:hint="eastAsia" w:ascii="宋体" w:hAnsi="宋体" w:eastAsia="宋体" w:cs="宋体"/>
                <w:sz w:val="21"/>
                <w:szCs w:val="21"/>
                <w:highlight w:val="yellow"/>
                <w:u w:val="none"/>
                <w:lang w:val="en-US" w:eastAsia="zh-CN"/>
              </w:rPr>
              <w:t xml:space="preserve"> </w:t>
            </w:r>
            <w:r>
              <w:rPr>
                <w:rFonts w:hint="eastAsia" w:ascii="宋体" w:hAnsi="宋体" w:eastAsia="宋体" w:cs="宋体"/>
                <w:sz w:val="21"/>
                <w:szCs w:val="21"/>
                <w:highlight w:val="yellow"/>
                <w:u w:val="single"/>
                <w:lang w:val="en-US" w:eastAsia="zh-CN"/>
              </w:rPr>
              <w:t xml:space="preserve">  0.3   </w:t>
            </w:r>
            <w:r>
              <w:rPr>
                <w:rFonts w:hint="eastAsia" w:ascii="宋体" w:hAnsi="宋体" w:eastAsia="宋体" w:cs="宋体"/>
                <w:sz w:val="21"/>
                <w:szCs w:val="21"/>
                <w:highlight w:val="yellow"/>
              </w:rPr>
              <w:t>。</w:t>
            </w:r>
          </w:p>
        </w:tc>
      </w:tr>
    </w:tbl>
    <w:p>
      <w:pPr>
        <w:pStyle w:val="29"/>
        <w:numPr>
          <w:ilvl w:val="0"/>
          <w:numId w:val="0"/>
        </w:numPr>
        <w:spacing w:before="0"/>
        <w:outlineLvl w:val="9"/>
        <w:rPr>
          <w:rFonts w:hint="eastAsia" w:ascii="宋体" w:hAnsi="宋体" w:eastAsia="宋体" w:cs="宋体"/>
          <w:b/>
          <w:bCs/>
          <w:sz w:val="21"/>
          <w:szCs w:val="21"/>
          <w:lang w:val="en-US" w:eastAsia="zh-CN"/>
        </w:rPr>
      </w:pPr>
    </w:p>
    <w:p>
      <w:pPr>
        <w:pStyle w:val="3"/>
        <w:rPr>
          <w:rFonts w:ascii="Times New Roman" w:hAnsi="Times New Roman" w:eastAsia="黑体" w:cs="Times New Roman"/>
          <w:bCs/>
          <w:sz w:val="24"/>
          <w:szCs w:val="32"/>
        </w:rPr>
      </w:pPr>
    </w:p>
    <w:p>
      <w:pPr>
        <w:jc w:val="left"/>
        <w:rPr>
          <w:rFonts w:ascii="Times New Roman" w:hAnsi="Times New Roman" w:eastAsia="黑体" w:cs="Times New Roman"/>
          <w:bCs/>
          <w:sz w:val="24"/>
          <w:szCs w:val="32"/>
        </w:rPr>
      </w:pPr>
    </w:p>
    <w:p>
      <w:pPr>
        <w:jc w:val="left"/>
        <w:rPr>
          <w:rFonts w:ascii="Times New Roman" w:hAnsi="Times New Roman" w:eastAsia="黑体" w:cs="Times New Roman"/>
          <w:bCs/>
          <w:sz w:val="24"/>
          <w:szCs w:val="32"/>
        </w:rPr>
      </w:pPr>
    </w:p>
    <w:p>
      <w:pPr>
        <w:jc w:val="left"/>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本次评审采用综合评分法。</w:t>
      </w:r>
      <w:r>
        <w:rPr>
          <w:rFonts w:hint="eastAsia" w:ascii="Times New Roman" w:hAnsi="Times New Roman" w:cs="Times New Roman"/>
        </w:rPr>
        <w:t>评审小组</w:t>
      </w:r>
      <w:r>
        <w:rPr>
          <w:rFonts w:ascii="Times New Roman" w:hAnsi="Times New Roman" w:cs="Times New Roman"/>
        </w:rPr>
        <w:t>对满足询比文件实质性要求的响应文件按照本章规定的评分标准进行打分，按照得分由高到低依次推荐成交候选人。如得分相同的，按照评审办法前附表中的规定确定成交候选人顺序。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 xml:space="preserve"> 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3.2.3 </w:t>
      </w:r>
      <w:r>
        <w:rPr>
          <w:rFonts w:hint="eastAsia" w:ascii="Times New Roman" w:hAnsi="Times New Roman" w:cs="Times New Roman"/>
          <w:highlight w:val="none"/>
        </w:rPr>
        <w:t>评审小组成员对</w:t>
      </w:r>
      <w:r>
        <w:rPr>
          <w:rFonts w:ascii="Times New Roman" w:hAnsi="Times New Roman" w:cs="Times New Roman"/>
          <w:highlight w:val="none"/>
        </w:rPr>
        <w:t>供应商</w:t>
      </w:r>
      <w:r>
        <w:rPr>
          <w:rFonts w:hint="eastAsia" w:ascii="Times New Roman" w:hAnsi="Times New Roman" w:cs="Times New Roman"/>
          <w:highlight w:val="none"/>
        </w:rPr>
        <w:t>综合评分，供应商最终得分为各评审小组成员评分的算数平均值</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hint="default" w:ascii="Times New Roman" w:hAnsi="Times New Roman" w:cs="Times New Roman"/>
        </w:rPr>
        <w:t>5、</w:t>
      </w:r>
      <w:r>
        <w:rPr>
          <w:rFonts w:ascii="Times New Roman" w:hAnsi="Times New Roman" w:cs="Times New Roman"/>
        </w:rPr>
        <w:t>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响应文件开启记录表</w:t>
      </w:r>
    </w:p>
    <w:p>
      <w:pPr>
        <w:spacing w:line="440" w:lineRule="exact"/>
        <w:ind w:firstLine="42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评审表格</w:t>
      </w:r>
    </w:p>
    <w:p>
      <w:pPr>
        <w:spacing w:line="440" w:lineRule="exact"/>
        <w:ind w:firstLine="420"/>
        <w:rPr>
          <w:rFonts w:hint="default" w:ascii="Times New Roman" w:hAnsi="Times New Roman" w:cs="Times New Roman"/>
          <w:color w:val="auto"/>
          <w:highlight w:val="none"/>
          <w:lang w:val="en-US" w:eastAsia="zh-CN"/>
        </w:rPr>
      </w:pPr>
    </w:p>
    <w:p>
      <w:pPr>
        <w:pStyle w:val="2"/>
        <w:rPr>
          <w:rFonts w:hint="default"/>
        </w:rPr>
      </w:pPr>
    </w:p>
    <w:p>
      <w:pPr>
        <w:rPr>
          <w:rFonts w:hint="default"/>
        </w:rPr>
      </w:pPr>
    </w:p>
    <w:p>
      <w:pPr>
        <w:pStyle w:val="2"/>
        <w:rPr>
          <w:rFonts w:hint="default"/>
        </w:rPr>
      </w:pPr>
    </w:p>
    <w:p>
      <w:pPr>
        <w:pStyle w:val="2"/>
        <w:rPr>
          <w:rFonts w:ascii="Times New Roman" w:hAnsi="Times New Roman"/>
        </w:rPr>
      </w:pPr>
    </w:p>
    <w:p>
      <w:pPr>
        <w:widowControl/>
        <w:jc w:val="left"/>
        <w:rPr>
          <w:rFonts w:ascii="Times New Roman" w:hAnsi="Times New Roman" w:eastAsia="宋体" w:cs="Times New Roman"/>
        </w:rPr>
      </w:pPr>
    </w:p>
    <w:p>
      <w:pPr>
        <w:pStyle w:val="19"/>
        <w:rPr>
          <w:rFonts w:ascii="Times New Roman" w:hAnsi="Times New Roman" w:eastAsia="宋体" w:cs="Times New Roman"/>
        </w:rPr>
      </w:pPr>
    </w:p>
    <w:p>
      <w:pPr>
        <w:pStyle w:val="19"/>
        <w:rPr>
          <w:rFonts w:ascii="Times New Roman" w:hAnsi="Times New Roman" w:eastAsia="宋体" w:cs="Times New Roman"/>
        </w:rPr>
      </w:pPr>
    </w:p>
    <w:p>
      <w:pPr>
        <w:pStyle w:val="19"/>
        <w:rPr>
          <w:rFonts w:ascii="Times New Roman" w:hAnsi="Times New Roman" w:eastAsia="宋体" w:cs="Times New Roman"/>
        </w:rPr>
      </w:pPr>
    </w:p>
    <w:p>
      <w:pPr>
        <w:rPr>
          <w:rFonts w:ascii="Times New Roman" w:hAnsi="Times New Roman" w:eastAsia="宋体" w:cs="Times New Roman"/>
        </w:rPr>
      </w:pPr>
    </w:p>
    <w:p>
      <w:pPr>
        <w:spacing w:line="408" w:lineRule="auto"/>
        <w:ind w:firstLine="420" w:firstLineChars="200"/>
        <w:rPr>
          <w:rFonts w:hint="eastAsia" w:ascii="宋体" w:hAnsi="宋体" w:cs="宋体"/>
          <w:szCs w:val="21"/>
          <w:highlight w:val="none"/>
        </w:rPr>
      </w:pPr>
      <w:r>
        <w:rPr>
          <w:rFonts w:hint="eastAsia" w:ascii="宋体" w:hAnsi="宋体" w:cs="宋体"/>
          <w:szCs w:val="21"/>
          <w:highlight w:val="none"/>
        </w:rPr>
        <w:br w:type="page"/>
      </w:r>
    </w:p>
    <w:p>
      <w:pPr>
        <w:pStyle w:val="4"/>
        <w:numPr>
          <w:ilvl w:val="0"/>
          <w:numId w:val="0"/>
        </w:numPr>
        <w:spacing w:before="312" w:after="312"/>
        <w:ind w:leftChars="0"/>
        <w:jc w:val="center"/>
        <w:rPr>
          <w:rFonts w:ascii="Times New Roman" w:hAnsi="Times New Roman" w:eastAsia="宋体" w:cs="Times New Roman"/>
        </w:rPr>
      </w:pPr>
      <w:bookmarkStart w:id="61" w:name="_Toc30122"/>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bookmarkEnd w:id="61"/>
    </w:p>
    <w:p/>
    <w:p>
      <w:pPr>
        <w:pStyle w:val="4"/>
        <w:numPr>
          <w:ilvl w:val="255"/>
          <w:numId w:val="0"/>
        </w:numPr>
        <w:spacing w:before="312" w:after="312"/>
        <w:ind w:left="402"/>
        <w:outlineLvl w:val="9"/>
        <w:rPr>
          <w:rFonts w:hint="eastAsia" w:ascii="Times New Roman" w:hAnsi="Times New Roman" w:eastAsia="宋体" w:cs="Times New Roman"/>
        </w:rPr>
      </w:pPr>
    </w:p>
    <w:p>
      <w:pPr>
        <w:rPr>
          <w:rFonts w:hint="eastAsia" w:ascii="Times New Roman" w:hAnsi="Times New Roman" w:eastAsia="宋体" w:cs="Times New Roman"/>
        </w:rPr>
      </w:pPr>
    </w:p>
    <w:p>
      <w:pPr>
        <w:pStyle w:val="2"/>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项目名称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color w:val="auto"/>
          <w:sz w:val="44"/>
          <w:szCs w:val="44"/>
          <w:lang w:val="en-US" w:eastAsia="zh-CN"/>
        </w:rPr>
        <w:t>采购</w:t>
      </w:r>
      <w:r>
        <w:rPr>
          <w:rFonts w:hint="eastAsia" w:ascii="方正小标宋简体" w:hAnsi="方正小标宋简体" w:eastAsia="方正小标宋简体" w:cs="方正小标宋简体"/>
          <w:bCs/>
          <w:color w:val="auto"/>
          <w:sz w:val="44"/>
          <w:szCs w:val="44"/>
          <w:lang w:eastAsia="zh-CN"/>
        </w:rPr>
        <w:t>合同</w:t>
      </w:r>
    </w:p>
    <w:p>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eastAsia="zh-CN"/>
        </w:rPr>
        <w:t>安徽省经工物资有限公司</w:t>
      </w:r>
      <w:r>
        <w:rPr>
          <w:rFonts w:hint="eastAsia" w:ascii="仿宋_GB2312" w:hAnsi="仿宋_GB2312" w:eastAsia="仿宋_GB2312" w:cs="仿宋_GB2312"/>
          <w:color w:val="auto"/>
          <w:sz w:val="28"/>
          <w:szCs w:val="28"/>
        </w:rPr>
        <w:t>（以下简称甲方）</w:t>
      </w:r>
    </w:p>
    <w:p>
      <w:pPr>
        <w:keepNext w:val="0"/>
        <w:keepLines w:val="0"/>
        <w:pageBreakBefore w:val="0"/>
        <w:widowControl w:val="0"/>
        <w:tabs>
          <w:tab w:val="left" w:pos="5370"/>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供应方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rPr>
        <w:t xml:space="preserve">（以下简称乙方）  </w:t>
      </w:r>
    </w:p>
    <w:p>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依据《</w:t>
      </w:r>
      <w:r>
        <w:rPr>
          <w:rFonts w:hint="eastAsia" w:ascii="仿宋_GB2312" w:hAnsi="仿宋_GB2312" w:eastAsia="仿宋_GB2312" w:cs="仿宋_GB2312"/>
          <w:color w:val="auto"/>
          <w:sz w:val="28"/>
          <w:szCs w:val="28"/>
          <w:lang w:eastAsia="zh-CN"/>
        </w:rPr>
        <w:t>中华人民共和国民法典</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及有关</w:t>
      </w:r>
      <w:r>
        <w:rPr>
          <w:rFonts w:hint="eastAsia" w:ascii="仿宋_GB2312" w:hAnsi="仿宋_GB2312" w:eastAsia="仿宋_GB2312" w:cs="仿宋_GB2312"/>
          <w:color w:val="auto"/>
          <w:sz w:val="28"/>
          <w:szCs w:val="28"/>
        </w:rPr>
        <w:t>规定，</w:t>
      </w:r>
      <w:r>
        <w:rPr>
          <w:rFonts w:hint="eastAsia" w:ascii="仿宋_GB2312" w:hAnsi="仿宋_GB2312" w:eastAsia="仿宋_GB2312" w:cs="仿宋_GB2312"/>
          <w:color w:val="auto"/>
          <w:sz w:val="28"/>
          <w:szCs w:val="28"/>
          <w:lang w:val="en-US" w:eastAsia="zh-CN"/>
        </w:rPr>
        <w:t>甲、乙双方经过友好协商，现就甲方向乙方购买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用于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u w:val="none"/>
          <w:lang w:val="en-US" w:eastAsia="zh-CN"/>
        </w:rPr>
        <w:t>有关事宜，达成如下一致条款</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以资双方共同遵照执行</w:t>
      </w:r>
      <w:r>
        <w:rPr>
          <w:rFonts w:hint="eastAsia" w:ascii="仿宋_GB2312" w:hAnsi="仿宋_GB2312" w:eastAsia="仿宋_GB2312" w:cs="仿宋_GB2312"/>
          <w:color w:val="auto"/>
          <w:sz w:val="28"/>
          <w:szCs w:val="28"/>
          <w:u w:val="none"/>
        </w:rPr>
        <w:t>：</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第一条  合同价款</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1.本合同总价人民币大写：</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具体报价清单见附件，产品为固定综合单价，已经包含税费、材料费（含辅材）、运输费、装卸费、人员成本、安装调试、各项实验检验费、验收费以及与货物有关的特殊要求等可能产生的所有成本和费用。在合同执行期内，材料单价不因市场波动、政策调整、人工涨跌等原因做任何形式的调整。本合同所列工程量为暂估数量，最终以签收数量（乙方无条件补货与退货，并承担相应的运输、装卸货等费用）和固定综合单价进行结算。</w:t>
      </w:r>
    </w:p>
    <w:p>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rPr>
        <w:t>第二条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交货方</w:t>
      </w:r>
      <w:r>
        <w:rPr>
          <w:rFonts w:hint="eastAsia" w:ascii="黑体" w:hAnsi="黑体" w:eastAsia="黑体" w:cs="黑体"/>
          <w:b w:val="0"/>
          <w:bCs/>
          <w:color w:val="auto"/>
          <w:sz w:val="28"/>
          <w:szCs w:val="28"/>
          <w:highlight w:val="none"/>
        </w:rPr>
        <w:t>式、时间及地点</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w:t>
      </w:r>
    </w:p>
    <w:p>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lang w:val="en-US" w:eastAsia="zh-CN" w:bidi="ar-SA"/>
        </w:rPr>
        <w:t>联系地址为：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u w:val="none"/>
          <w:lang w:val="en-US" w:eastAsia="zh-CN" w:bidi="ar-SA"/>
        </w:rPr>
        <w:t>，</w:t>
      </w:r>
      <w:r>
        <w:rPr>
          <w:rFonts w:hint="eastAsia" w:ascii="仿宋_GB2312" w:hAnsi="仿宋_GB2312" w:eastAsia="仿宋_GB2312" w:cs="仿宋_GB2312"/>
          <w:color w:val="auto"/>
          <w:kern w:val="2"/>
          <w:sz w:val="28"/>
          <w:szCs w:val="28"/>
          <w:lang w:val="en-US" w:eastAsia="zh-CN" w:bidi="ar-SA"/>
        </w:rPr>
        <w:t>甲方以上述任一方式发出的通知均为合法有效的通知。</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三</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验收</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甲方通知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并由其指定</w:t>
      </w:r>
      <w:r>
        <w:rPr>
          <w:rFonts w:hint="eastAsia" w:ascii="仿宋_GB2312" w:hAnsi="仿宋_GB2312" w:eastAsia="仿宋_GB2312" w:cs="仿宋_GB2312"/>
          <w:color w:val="auto"/>
          <w:sz w:val="28"/>
          <w:szCs w:val="28"/>
          <w:highlight w:val="none"/>
        </w:rPr>
        <w:t>现场</w:t>
      </w:r>
      <w:r>
        <w:rPr>
          <w:rFonts w:hint="eastAsia" w:ascii="仿宋_GB2312" w:hAnsi="仿宋_GB2312" w:eastAsia="仿宋_GB2312" w:cs="仿宋_GB2312"/>
          <w:color w:val="auto"/>
          <w:sz w:val="28"/>
          <w:szCs w:val="28"/>
          <w:highlight w:val="none"/>
          <w:lang w:val="en-US" w:eastAsia="zh-CN"/>
        </w:rPr>
        <w:t>人员对货物进行签收。</w:t>
      </w:r>
      <w:r>
        <w:rPr>
          <w:rFonts w:hint="eastAsia" w:ascii="仿宋_GB2312" w:hAnsi="仿宋_GB2312" w:eastAsia="仿宋_GB2312" w:cs="仿宋_GB2312"/>
          <w:color w:val="auto"/>
          <w:sz w:val="28"/>
          <w:szCs w:val="28"/>
          <w:lang w:val="en-US" w:eastAsia="zh-CN"/>
        </w:rPr>
        <w:t>如果</w:t>
      </w:r>
      <w:r>
        <w:rPr>
          <w:rFonts w:hint="eastAsia" w:ascii="仿宋_GB2312" w:hAnsi="仿宋_GB2312" w:eastAsia="仿宋_GB2312" w:cs="仿宋_GB2312"/>
          <w:color w:val="auto"/>
          <w:sz w:val="28"/>
          <w:szCs w:val="28"/>
        </w:rPr>
        <w:t>现场签收</w:t>
      </w:r>
      <w:r>
        <w:rPr>
          <w:rFonts w:hint="eastAsia" w:ascii="仿宋_GB2312" w:hAnsi="仿宋_GB2312" w:eastAsia="仿宋_GB2312" w:cs="仿宋_GB2312"/>
          <w:color w:val="auto"/>
          <w:sz w:val="28"/>
          <w:szCs w:val="28"/>
          <w:lang w:val="en-US" w:eastAsia="zh-CN"/>
        </w:rPr>
        <w:t>人员发生变更，甲方会通知乙方重新指定。</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lang w:val="en-US" w:eastAsia="zh-CN"/>
        </w:rPr>
        <w:t>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对于货物的规格型号、数量、材质等与约定不符或有其他质量问题的,甲方异议期为货物签收后</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日内，异议经核实乙方应无条件补足或换货。</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lang w:val="en-US" w:eastAsia="zh-CN"/>
        </w:rPr>
        <w:t>年，质量保证期（以下简称质保期）为交工验收</w:t>
      </w:r>
      <w:r>
        <w:rPr>
          <w:rFonts w:hint="eastAsia" w:ascii="仿宋_GB2312" w:hAnsi="仿宋_GB2312" w:eastAsia="仿宋_GB2312" w:cs="仿宋_GB2312"/>
          <w:color w:val="auto"/>
          <w:sz w:val="28"/>
          <w:szCs w:val="28"/>
          <w:lang w:val="en-US" w:eastAsia="zh-CN"/>
        </w:rPr>
        <w:t>合格后</w:t>
      </w:r>
      <w:r>
        <w:rPr>
          <w:rFonts w:hint="eastAsia" w:ascii="仿宋_GB2312" w:hAnsi="仿宋_GB2312" w:eastAsia="仿宋_GB2312" w:cs="仿宋_GB2312"/>
          <w:color w:val="auto"/>
          <w:sz w:val="28"/>
          <w:szCs w:val="28"/>
          <w:u w:val="single"/>
          <w:lang w:val="en-US" w:eastAsia="zh-CN"/>
        </w:rPr>
        <w:t xml:space="preserve">  2  </w:t>
      </w:r>
      <w:r>
        <w:rPr>
          <w:rFonts w:hint="eastAsia" w:ascii="仿宋_GB2312" w:hAnsi="仿宋_GB2312" w:eastAsia="仿宋_GB2312" w:cs="仿宋_GB2312"/>
          <w:color w:val="auto"/>
          <w:sz w:val="28"/>
          <w:szCs w:val="28"/>
          <w:lang w:val="en-US" w:eastAsia="zh-CN"/>
        </w:rPr>
        <w:t>年。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2.质保期满后，若有零部件或货物出现故障，经鉴定属于寿命异常问题（明显短于该零部件或货物正常寿命）时，则由乙方负责免费更换维修。质保期满后，乙方以优惠价格向甲方提供所需的零配件或货物。</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3.乙方必须提供合同标的中所有产品的合格证、产品说明书。检测报告、第三方检测报告（如有）、随机附件、工具（如有），货到现场后交给现场的收货人员。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4.合同标的中若有进口产品，则乙方必须提供原产地证明、单机产品序列号、原生产厂商质量保证书、报关单等证明材料。</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5.产品包装应符合国家标准。乙方应承担由于其包装或其防护措施不妥而引起货物锈蚀、损坏和丢失等任何损失的责任或费用。产品在卸货后剥离包装物同时负责回收或送到包装清理指定地点。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五</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highlight w:val="none"/>
        </w:rPr>
        <w:t>价款结算及付款方式</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产品全部安装完毕，经甲方指定签收人验收合格并签字，且经使用方及业主单位验收合格后，办理完成结算手续，甲方向乙方一次性付至审定工程价款的97%；在缺陷责任期（1年）满后，经使用方出具书面使用合格证明并经审计后，付至审定金额的100%。</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2.甲方预留最终审定金额的</w:t>
      </w:r>
      <w:r>
        <w:rPr>
          <w:rFonts w:hint="eastAsia" w:ascii="仿宋_GB2312" w:hAnsi="仿宋_GB2312" w:eastAsia="仿宋_GB2312" w:cs="仿宋_GB2312"/>
          <w:color w:val="auto"/>
          <w:sz w:val="28"/>
          <w:szCs w:val="28"/>
          <w:highlight w:val="none"/>
          <w:u w:val="single"/>
          <w:lang w:val="en-US" w:eastAsia="zh-CN"/>
        </w:rPr>
        <w:t xml:space="preserve">  3  </w:t>
      </w:r>
      <w:r>
        <w:rPr>
          <w:rFonts w:hint="eastAsia" w:ascii="仿宋_GB2312" w:hAnsi="仿宋_GB2312" w:eastAsia="仿宋_GB2312" w:cs="仿宋_GB2312"/>
          <w:color w:val="auto"/>
          <w:sz w:val="28"/>
          <w:szCs w:val="28"/>
          <w:highlight w:val="none"/>
          <w:lang w:val="en-US" w:eastAsia="zh-CN"/>
        </w:rPr>
        <w:t>%作为质保金，在缺陷责任期后无质量问题一次性无息支付。</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供货后15日内将所送货物的送货单(需为经甲方指定签收人签字确认的有效送货单)汇总后向甲方提交书面对账清单，经甲方确认后方可作为价款结算和付款依据。若因乙方迟延提交对账清单，因此造成的损失由乙方自行承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4.乙方提供符合采购人财务要求的国家税务局13%增值税专用发票后办理结算，发票需要做到“三流一致”，也即“货物、劳务及应税服务流”、“资金流”、“发票流”必须都是同一受票方。</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 xml:space="preserve">第六条  </w:t>
      </w:r>
      <w:r>
        <w:rPr>
          <w:rFonts w:hint="eastAsia" w:ascii="黑体" w:hAnsi="黑体" w:eastAsia="黑体" w:cs="黑体"/>
          <w:b w:val="0"/>
          <w:bCs/>
          <w:color w:val="auto"/>
          <w:sz w:val="28"/>
          <w:szCs w:val="28"/>
        </w:rPr>
        <w:t>违约责任</w:t>
      </w:r>
    </w:p>
    <w:p>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若逾期交货，需支付甲方逾期交货部分价款每日5%的违约金，迟延交付超过3日的，甲方有权解除合同，或将乙方承担的一部分供货任务交由其他供货商供应；甲方解除合同的，乙方须向甲方支付合同总价款20%违约金，并应赔偿甲方由此造成的全部损失，同时承担甲方由此支付的诉讼费、律师费等实现债权的费用。交付货物没有通过甲方检验，造成交付迟延，按照上述条款承担违约责任。</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交付的货物不符合约定标准，按合同总价款20%向甲方支付违约金。同时应在3日内履行更换义务，更由此换后的货物仍不符合原定质量要求的，甲方可解除合同。甲方解除合同的，乙方须向甲方支付合同总价款20%违约金，并应赔偿甲方造成的全部损失，同时承担甲方由此支付的诉讼费、律师费等实现债权的费用。</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3.乙方违反合同约定的其他自身义务时，给甲方造成损失的，甲方均有权解除合同，并有权要求乙方按上述第1、2项规定承担赔偿责任，支付违约金。</w:t>
      </w:r>
    </w:p>
    <w:p>
      <w:pPr>
        <w:keepNext w:val="0"/>
        <w:keepLines w:val="0"/>
        <w:pageBreakBefore w:val="0"/>
        <w:numPr>
          <w:ilvl w:val="0"/>
          <w:numId w:val="0"/>
        </w:numPr>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4.对于乙方因违反本合同约定需支付的违约金，甲方有权在应付货款中直接予以扣除。 </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七</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其他约定</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1.乙方送货车辆到甲方现场后，在行驶和卸货过程中，乙方驾驶人员应自行察看周围地形，乙方</w:t>
      </w:r>
      <w:r>
        <w:rPr>
          <w:rFonts w:hint="eastAsia" w:ascii="仿宋_GB2312" w:hAnsi="仿宋_GB2312" w:eastAsia="仿宋_GB2312" w:cs="仿宋_GB2312"/>
          <w:color w:val="auto"/>
          <w:sz w:val="28"/>
          <w:szCs w:val="28"/>
          <w:highlight w:val="none"/>
          <w:lang w:val="en-US" w:eastAsia="zh-CN"/>
        </w:rPr>
        <w:t>车辆在甲方现场若出现事故产生损失或造成对第三人侵权等其他情形，一切损失和责任均由乙方自行承担。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乙方必须保证甲方在使用乙方提供的货物时，不存在任何已知的不合法的情形，也不存在已知的与第三方专利权、著作权、商标权等相关的任何争议，如果有任何因甲方使用乙方提供的货物而提起的侵权指控，或供应假冒伪劣货物，乙方依法承担全部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八</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争议解决方式</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在履行合同期间发生纠份，先由双方协商解决，协商不成，双方约定向甲方所在地人民法院提起诉讼。</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color w:val="auto"/>
          <w:sz w:val="28"/>
          <w:szCs w:val="28"/>
          <w:lang w:val="en-US" w:eastAsia="zh-CN"/>
        </w:rPr>
        <w:t>第</w:t>
      </w:r>
      <w:r>
        <w:rPr>
          <w:rFonts w:hint="eastAsia" w:ascii="黑体" w:hAnsi="黑体" w:eastAsia="黑体" w:cs="黑体"/>
          <w:b w:val="0"/>
          <w:bCs/>
          <w:color w:val="auto"/>
          <w:sz w:val="28"/>
          <w:szCs w:val="28"/>
          <w:lang w:val="en-US" w:eastAsia="zh-CN"/>
        </w:rPr>
        <w:t>九条</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1.本合同未尽事宜，由双方另行协商解决并签订补充协议。</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2.本合同自甲乙双方签字盖章之日起生效。</w:t>
      </w:r>
    </w:p>
    <w:p>
      <w:pPr>
        <w:pStyle w:val="2"/>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 xml:space="preserve"> 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pStyle w:val="3"/>
        <w:rPr>
          <w:rFonts w:hint="eastAsia"/>
          <w:lang w:val="en-US" w:eastAsia="zh-CN"/>
        </w:rPr>
      </w:pP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附件：1.廉政合同</w:t>
      </w:r>
    </w:p>
    <w:p>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lang w:val="en-US" w:eastAsia="zh-CN"/>
        </w:rPr>
      </w:pPr>
      <w:r>
        <w:rPr>
          <w:rFonts w:hint="eastAsia" w:ascii="仿宋_GB2312" w:hAnsi="仿宋_GB2312" w:eastAsia="仿宋_GB2312" w:cs="仿宋_GB2312"/>
          <w:color w:val="auto"/>
          <w:sz w:val="28"/>
          <w:szCs w:val="28"/>
          <w:lang w:val="en-US" w:eastAsia="zh-CN"/>
        </w:rPr>
        <w:t>2.安全生产合同</w:t>
      </w:r>
    </w:p>
    <w:p>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3.报价清单</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（以下无正文）</w:t>
      </w:r>
    </w:p>
    <w:p>
      <w:pPr>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bidi w:val="0"/>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u w:val="none"/>
          <w:lang w:val="en-US" w:eastAsia="zh-CN"/>
        </w:rPr>
      </w:pP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u w:val="none"/>
          <w:lang w:val="en-US" w:eastAsia="zh-CN"/>
        </w:rPr>
        <w:t>安徽省经工物资有限公司</w:t>
      </w:r>
      <w:r>
        <w:rPr>
          <w:rFonts w:hint="eastAsia" w:ascii="仿宋_GB2312" w:hAnsi="仿宋_GB2312" w:eastAsia="仿宋_GB2312" w:cs="仿宋_GB2312"/>
          <w:color w:val="auto"/>
          <w:sz w:val="28"/>
          <w:szCs w:val="28"/>
          <w:lang w:val="en-US" w:eastAsia="zh-CN"/>
        </w:rPr>
        <w:t xml:space="preserve">        乙方：</w:t>
      </w:r>
      <w:r>
        <w:rPr>
          <w:rFonts w:hint="eastAsia" w:ascii="仿宋_GB2312" w:hAnsi="仿宋_GB2312" w:eastAsia="仿宋_GB2312" w:cs="仿宋_GB2312"/>
          <w:color w:val="auto"/>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（盖章）                          （盖章）</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法定代表人或                        法定代表人或</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授权委托人（签字）：                授权委托人（签字）：</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纳税识别号：91340100MA2MY6GA6E      纳税识别号: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地址：安徽省合肥市蜀山区甘泉路      地址：</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398号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开户银行：工行合肥东陈岗支行        开户银行：</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账号：1302012119200034038           账号：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年   月  日                         年   月   日</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pacing w:val="0"/>
          <w:sz w:val="44"/>
          <w:szCs w:val="44"/>
          <w:lang w:val="en-US" w:eastAsia="zh-CN"/>
        </w:rPr>
      </w:pPr>
      <w:r>
        <w:rPr>
          <w:rFonts w:hint="eastAsia" w:ascii="方正小标宋简体" w:hAnsi="方正小标宋简体" w:eastAsia="方正小标宋简体" w:cs="方正小标宋简体"/>
          <w:b/>
          <w:bCs/>
          <w:color w:val="auto"/>
          <w:spacing w:val="0"/>
          <w:sz w:val="44"/>
          <w:szCs w:val="44"/>
          <w:lang w:val="en-US" w:eastAsia="zh-CN"/>
        </w:rPr>
        <w:t>廉 政 合 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lang w:val="en-US" w:eastAsia="zh-CN"/>
        </w:rPr>
        <w:t>的采购人</w:t>
      </w:r>
      <w:r>
        <w:rPr>
          <w:rFonts w:hint="eastAsia" w:ascii="仿宋_GB2312" w:hAnsi="仿宋_GB2312" w:eastAsia="仿宋_GB2312" w:cs="仿宋_GB2312"/>
          <w:color w:val="auto"/>
          <w:sz w:val="28"/>
          <w:szCs w:val="28"/>
          <w:u w:val="single"/>
          <w:lang w:val="en-US" w:eastAsia="zh-CN"/>
        </w:rPr>
        <w:t xml:space="preserve"> 安徽省经工物资有限公司</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严格遵守党</w:t>
      </w:r>
      <w:r>
        <w:rPr>
          <w:rFonts w:hint="eastAsia" w:ascii="仿宋_GB2312" w:hAnsi="仿宋_GB2312" w:eastAsia="仿宋_GB2312" w:cs="仿宋_GB2312"/>
          <w:color w:val="auto"/>
          <w:sz w:val="28"/>
          <w:szCs w:val="28"/>
          <w:lang w:val="en-US" w:eastAsia="zh-CN"/>
        </w:rPr>
        <w:t>的政策</w:t>
      </w:r>
      <w:r>
        <w:rPr>
          <w:rFonts w:hint="eastAsia" w:ascii="仿宋_GB2312" w:hAnsi="仿宋_GB2312" w:eastAsia="仿宋_GB2312" w:cs="仿宋_GB2312"/>
          <w:color w:val="auto"/>
          <w:sz w:val="28"/>
          <w:szCs w:val="28"/>
        </w:rPr>
        <w:t>和国家有关法律</w:t>
      </w:r>
      <w:r>
        <w:rPr>
          <w:rFonts w:hint="eastAsia" w:ascii="仿宋_GB2312" w:hAnsi="仿宋_GB2312" w:eastAsia="仿宋_GB2312" w:cs="仿宋_GB2312"/>
          <w:color w:val="auto"/>
          <w:sz w:val="28"/>
          <w:szCs w:val="28"/>
          <w:lang w:val="en-US" w:eastAsia="zh-CN"/>
        </w:rPr>
        <w:t>法规的</w:t>
      </w:r>
      <w:r>
        <w:rPr>
          <w:rFonts w:hint="eastAsia" w:ascii="仿宋_GB2312" w:hAnsi="仿宋_GB2312" w:eastAsia="仿宋_GB2312" w:cs="仿宋_GB2312"/>
          <w:color w:val="auto"/>
          <w:sz w:val="28"/>
          <w:szCs w:val="28"/>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严格执行</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合同文件</w:t>
      </w:r>
      <w:r>
        <w:rPr>
          <w:rFonts w:hint="eastAsia" w:ascii="仿宋_GB2312" w:hAnsi="仿宋_GB2312" w:eastAsia="仿宋_GB2312" w:cs="仿宋_GB2312"/>
          <w:color w:val="auto"/>
          <w:sz w:val="28"/>
          <w:szCs w:val="28"/>
          <w:u w:val="none"/>
          <w:lang w:val="en-US" w:eastAsia="zh-CN"/>
        </w:rPr>
        <w:t>名称</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合同文件</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rPr>
        <w:t>自觉按合同办事。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双方的业务活动坚持公开、公正、诚信、透明的原则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法律认定的商业秘密和合同文件另有规定除外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，不得损害国家和集体利益。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建立健全廉政制度，开展廉政教育和廉洁文化建设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公布举报电话，监督并认真查处</w:t>
      </w:r>
      <w:r>
        <w:rPr>
          <w:rFonts w:hint="eastAsia" w:ascii="仿宋_GB2312" w:hAnsi="仿宋_GB2312" w:eastAsia="仿宋_GB2312" w:cs="仿宋_GB2312"/>
          <w:color w:val="auto"/>
          <w:sz w:val="28"/>
          <w:szCs w:val="28"/>
          <w:lang w:val="en-US" w:eastAsia="zh-CN"/>
        </w:rPr>
        <w:t>违规</w:t>
      </w:r>
      <w:r>
        <w:rPr>
          <w:rFonts w:hint="eastAsia" w:ascii="仿宋_GB2312" w:hAnsi="仿宋_GB2312" w:eastAsia="仿宋_GB2312" w:cs="仿宋_GB2312"/>
          <w:color w:val="auto"/>
          <w:sz w:val="28"/>
          <w:szCs w:val="28"/>
        </w:rPr>
        <w:t>违纪违法行为。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lang w:eastAsia="zh-CN"/>
        </w:rPr>
        <w:t>利用职务之便为乙方谋取利益，</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eastAsia="zh-CN"/>
        </w:rPr>
        <w:t>在其离职后</w:t>
      </w:r>
      <w:r>
        <w:rPr>
          <w:rFonts w:hint="eastAsia" w:ascii="仿宋_GB2312" w:hAnsi="仿宋_GB2312" w:eastAsia="仿宋_GB2312" w:cs="仿宋_GB2312"/>
          <w:color w:val="auto"/>
          <w:sz w:val="28"/>
          <w:szCs w:val="28"/>
          <w:lang w:val="en-US" w:eastAsia="zh-CN"/>
        </w:rPr>
        <w:t>给予</w:t>
      </w:r>
      <w:r>
        <w:rPr>
          <w:rFonts w:hint="eastAsia" w:ascii="仿宋_GB2312" w:hAnsi="仿宋_GB2312" w:eastAsia="仿宋_GB2312" w:cs="仿宋_GB2312"/>
          <w:color w:val="auto"/>
          <w:sz w:val="28"/>
          <w:szCs w:val="28"/>
          <w:lang w:eastAsia="zh-CN"/>
        </w:rPr>
        <w:t>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6.本合同作为</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rPr>
        <w:t>7.本合同一式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法定代表或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甲方监督单位：（盖章）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乙方监督单位：（盖章）</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附件二：</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安全生产合同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为在</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rPr>
        <w:t>的实施过程中创造安全、高效的施工环境，切实搞好本项目的安全管理工作，本项目</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u w:val="single"/>
          <w:lang w:val="en-US" w:eastAsia="zh-CN"/>
        </w:rPr>
        <w:t xml:space="preserve">安徽省经工物资有限公司 </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sz w:val="28"/>
          <w:szCs w:val="28"/>
          <w:u w:val="single"/>
          <w:lang w:val="en-US" w:eastAsia="zh-CN"/>
        </w:rPr>
        <w:t>【供应商名称】</w:t>
      </w:r>
      <w:r>
        <w:rPr>
          <w:rFonts w:hint="eastAsia" w:ascii="仿宋_GB2312" w:hAnsi="仿宋_GB2312" w:eastAsia="仿宋_GB2312" w:cs="仿宋_GB2312"/>
          <w:color w:val="auto"/>
          <w:sz w:val="28"/>
          <w:szCs w:val="28"/>
          <w:lang w:val="en-US" w:eastAsia="zh-CN"/>
        </w:rPr>
        <w:t>（供货商名称，以下简称乙方）</w:t>
      </w:r>
      <w:r>
        <w:rPr>
          <w:rFonts w:hint="eastAsia" w:ascii="仿宋_GB2312" w:hAnsi="仿宋_GB2312" w:eastAsia="仿宋_GB2312" w:cs="仿宋_GB2312"/>
          <w:color w:val="auto"/>
          <w:sz w:val="28"/>
          <w:szCs w:val="28"/>
        </w:rPr>
        <w:t>特此签订</w:t>
      </w:r>
      <w:r>
        <w:rPr>
          <w:rFonts w:hint="eastAsia" w:ascii="仿宋_GB2312" w:hAnsi="仿宋_GB2312" w:eastAsia="仿宋_GB2312" w:cs="仿宋_GB2312"/>
          <w:color w:val="auto"/>
          <w:sz w:val="28"/>
          <w:szCs w:val="28"/>
          <w:lang w:val="en-US" w:eastAsia="zh-CN"/>
        </w:rPr>
        <w:t>此</w:t>
      </w:r>
      <w:r>
        <w:rPr>
          <w:rFonts w:hint="eastAsia" w:ascii="仿宋_GB2312" w:hAnsi="仿宋_GB2312" w:eastAsia="仿宋_GB2312" w:cs="仿宋_GB2312"/>
          <w:color w:val="auto"/>
          <w:sz w:val="28"/>
          <w:szCs w:val="28"/>
        </w:rPr>
        <w:t>安全生产合同：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为强化企业安全生产主体责任，加强道路运输安全管理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lang w:val="en-US" w:eastAsia="zh-CN"/>
        </w:rPr>
        <w:t>中华人民共和国民法典</w:t>
      </w:r>
      <w:r>
        <w:rPr>
          <w:rFonts w:hint="eastAsia" w:ascii="仿宋_GB2312" w:hAnsi="仿宋_GB2312" w:eastAsia="仿宋_GB2312" w:cs="仿宋_GB2312"/>
          <w:color w:val="auto"/>
          <w:sz w:val="28"/>
          <w:szCs w:val="28"/>
        </w:rPr>
        <w:t>》、《中华人民共和道路交通安全法》、《公路安全保护条例》、《中华人民共和国公路法》、《超限运输车辆行驶公路管理规定》及其他相关安全法律、行政法规和规章，在平等、自愿、公平和诚实信用的原则下，双方就材料供应、运输安全事项协商一致，双方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一、本协议履行期限与双方签订的材料供应合同履行期限相同，</w:t>
      </w:r>
      <w:r>
        <w:rPr>
          <w:rFonts w:hint="eastAsia" w:ascii="仿宋_GB2312" w:hAnsi="仿宋_GB2312" w:eastAsia="仿宋_GB2312" w:cs="仿宋_GB2312"/>
          <w:color w:val="auto"/>
          <w:sz w:val="28"/>
          <w:szCs w:val="28"/>
          <w:highlight w:val="none"/>
        </w:rPr>
        <w:t>属材料供应合同的附件之一，具有与材料供应合同同等的法律效力。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三、在甲方运输区域，乙方运输车辆必须服从甲方的统一管理、调度和指挥，严格遵守交通规则，保证道路的畅通和运输安全，不得乱停、乱靠、乱装、乱卸，不得争道抢行，不得超速超载。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四、乙方对提供的运输车辆应当已取得国家道路运输的许可证，并确保车辆性能符合安全技术标准、防止带病上路运行，已依照国家法律政策规定购齐有关车辆保险。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lang w:val="en-US" w:eastAsia="zh-CN"/>
        </w:rPr>
        <w:t>或岗位证书</w:t>
      </w:r>
      <w:r>
        <w:rPr>
          <w:rFonts w:hint="eastAsia" w:ascii="仿宋_GB2312" w:hAnsi="仿宋_GB2312" w:eastAsia="仿宋_GB2312" w:cs="仿宋_GB2312"/>
          <w:color w:val="auto"/>
          <w:sz w:val="28"/>
          <w:szCs w:val="28"/>
        </w:rPr>
        <w:t>后，方准持证上岗。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操作人员上岗，必须按规定穿戴防护用品。施工负责人和安全</w:t>
      </w:r>
      <w:r>
        <w:rPr>
          <w:rFonts w:hint="eastAsia" w:ascii="仿宋_GB2312" w:hAnsi="仿宋_GB2312" w:eastAsia="仿宋_GB2312" w:cs="仿宋_GB2312"/>
          <w:color w:val="auto"/>
          <w:sz w:val="28"/>
          <w:szCs w:val="28"/>
          <w:lang w:val="en-US" w:eastAsia="zh-CN"/>
        </w:rPr>
        <w:t>管理人</w:t>
      </w:r>
      <w:r>
        <w:rPr>
          <w:rFonts w:hint="eastAsia" w:ascii="仿宋_GB2312" w:hAnsi="仿宋_GB2312" w:eastAsia="仿宋_GB2312" w:cs="仿宋_GB2312"/>
          <w:color w:val="auto"/>
          <w:sz w:val="28"/>
          <w:szCs w:val="28"/>
        </w:rPr>
        <w:t>员应随时检查劳动防护用品的穿戴情况，不按规定穿戴防护用品的人员不得上岗。</w:t>
      </w:r>
      <w:r>
        <w:rPr>
          <w:rFonts w:hint="eastAsia" w:ascii="仿宋_GB2312" w:hAnsi="仿宋_GB2312" w:eastAsia="仿宋_GB2312" w:cs="仿宋_GB2312"/>
          <w:color w:val="auto"/>
          <w:sz w:val="28"/>
          <w:szCs w:val="28"/>
          <w:lang w:val="en-US" w:eastAsia="zh-CN"/>
        </w:rPr>
        <w:t>在甲方区域，禁止出现无证操作、无证驾驶现象。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严肃处理相关责任人。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及安装</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 xml:space="preserve">、争议的解决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在履行中如发生争议，双方应及时协商解决。协商不成的，任何一方均有权将</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争议事项向甲方公司注册所在地人民法院提起诉讼，通过法定程序解决。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、本协议</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rPr>
        <w:t>份，甲</w:t>
      </w:r>
      <w:r>
        <w:rPr>
          <w:rFonts w:hint="eastAsia" w:ascii="仿宋_GB2312" w:hAnsi="仿宋_GB2312" w:eastAsia="仿宋_GB2312" w:cs="仿宋_GB2312"/>
          <w:color w:val="auto"/>
          <w:sz w:val="28"/>
          <w:szCs w:val="28"/>
          <w:lang w:val="en-US" w:eastAsia="zh-CN"/>
        </w:rPr>
        <w:t xml:space="preserve">方执 </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rPr>
        <w:t>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rPr>
      </w:pPr>
    </w:p>
    <w:p>
      <w:pPr>
        <w:pStyle w:val="19"/>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 xml:space="preserve">                 </w:t>
      </w:r>
    </w:p>
    <w:p>
      <w:pPr>
        <w:pStyle w:val="19"/>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报价清单</w:t>
      </w:r>
    </w:p>
    <w:p>
      <w:pPr>
        <w:pStyle w:val="4"/>
        <w:numPr>
          <w:ilvl w:val="0"/>
          <w:numId w:val="0"/>
        </w:numPr>
        <w:spacing w:before="312" w:after="312"/>
        <w:ind w:leftChars="0"/>
        <w:jc w:val="center"/>
        <w:rPr>
          <w:rFonts w:hint="eastAsia" w:ascii="Times New Roman" w:hAnsi="Times New Roman" w:eastAsia="宋体" w:cs="Times New Roman"/>
          <w:lang w:val="en-US" w:eastAsia="zh-CN"/>
        </w:rPr>
      </w:pPr>
    </w:p>
    <w:p>
      <w:pPr>
        <w:rPr>
          <w:rFonts w:hint="eastAsia"/>
          <w:lang w:val="en-US" w:eastAsia="zh-CN"/>
        </w:rPr>
      </w:pPr>
    </w:p>
    <w:p>
      <w:pPr>
        <w:pStyle w:val="4"/>
        <w:numPr>
          <w:ilvl w:val="0"/>
          <w:numId w:val="0"/>
        </w:numPr>
        <w:spacing w:before="312" w:after="312"/>
        <w:ind w:leftChars="0"/>
        <w:jc w:val="cente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4"/>
        <w:numPr>
          <w:ilvl w:val="255"/>
          <w:numId w:val="0"/>
        </w:numPr>
        <w:spacing w:before="312" w:after="312"/>
        <w:ind w:left="402"/>
        <w:rPr>
          <w:rFonts w:ascii="Times New Roman" w:hAnsi="Times New Roman" w:eastAsia="宋体" w:cs="Times New Roman"/>
        </w:rPr>
      </w:pPr>
      <w:bookmarkStart w:id="62" w:name="_Toc24422"/>
      <w:bookmarkStart w:id="63" w:name="_Toc26837"/>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bookmarkEnd w:id="62"/>
      <w:bookmarkEnd w:id="63"/>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eastAsia="zh-CN"/>
        </w:rPr>
      </w:pPr>
      <w:r>
        <w:rPr>
          <w:rFonts w:hint="eastAsia" w:ascii="Times New Roman" w:hAnsi="Times New Roman" w:eastAsia="宋体" w:cs="Times New Roman"/>
          <w:b/>
          <w:bCs/>
          <w:sz w:val="28"/>
          <w:szCs w:val="28"/>
          <w:lang w:val="en-US" w:eastAsia="zh-CN"/>
        </w:rPr>
        <w:t>一、</w:t>
      </w:r>
      <w:r>
        <w:rPr>
          <w:rFonts w:hint="eastAsia" w:ascii="宋体" w:hAnsi="宋体" w:eastAsia="宋体" w:cs="宋体"/>
          <w:b/>
          <w:bCs/>
          <w:sz w:val="28"/>
          <w:szCs w:val="28"/>
          <w:lang w:val="en-US" w:eastAsia="zh-CN"/>
        </w:rPr>
        <w:t>供货要求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中标人应严格按照技术要求和国家、部(专业)有关标准生产和检验，确保产品质量。并且完全符合合同规定的质量、规格和性能的要求，并保证产品是全新的、未使用的。</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中标人保证产品的性能和质量，并在其使用寿命内应具有满意的性能。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中标人对产品的质量应按国家和部(专业)颁布的质量标准或验收规范进行验收。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在产品使用期内，如因招标人使用不当和保管不善造成的问题，中标人应配合解决，但费用由招标人负担。</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质量保证期内如发生由于制造、工艺或材料缺陷而造成的质量问题，中标人在接到招标人书面通知1日内(以发出日期为准)给予答复，如果中标人对招标人提出的索赔负有责任，中标人应负责修理、更换或退货，并承担由此发生的一切损失和费用。如逾期不予答复和处理，则视为上述索赔已被接受，中标人应承担由此发生的一切损失和费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6售后服务要求：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szCs w:val="21"/>
          <w:highlight w:val="none"/>
        </w:rPr>
      </w:pPr>
      <w:r>
        <w:rPr>
          <w:rFonts w:hint="eastAsia" w:ascii="宋体" w:hAnsi="宋体" w:cs="宋体"/>
          <w:szCs w:val="21"/>
          <w:highlight w:val="none"/>
        </w:rPr>
        <w:t xml:space="preserve">6.1 </w:t>
      </w:r>
      <w:r>
        <w:rPr>
          <w:rFonts w:hint="eastAsia" w:ascii="宋体" w:hAnsi="宋体"/>
          <w:szCs w:val="21"/>
          <w:highlight w:val="none"/>
        </w:rPr>
        <w:t>卖方负责对</w:t>
      </w:r>
      <w:r>
        <w:rPr>
          <w:rFonts w:hint="eastAsia" w:ascii="宋体" w:hAnsi="宋体"/>
          <w:szCs w:val="21"/>
          <w:highlight w:val="none"/>
          <w:lang w:val="en-US" w:eastAsia="zh-CN"/>
        </w:rPr>
        <w:t>买方</w:t>
      </w:r>
      <w:r>
        <w:rPr>
          <w:rFonts w:hint="eastAsia" w:ascii="宋体" w:hAnsi="宋体"/>
          <w:szCs w:val="21"/>
          <w:highlight w:val="none"/>
        </w:rPr>
        <w:t>操作人员进行免费的培训(培训费均已包含在合同总价中)；</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szCs w:val="21"/>
          <w:highlight w:val="none"/>
        </w:rPr>
      </w:pPr>
      <w:r>
        <w:rPr>
          <w:rFonts w:hint="eastAsia" w:ascii="宋体" w:hAnsi="宋体"/>
          <w:szCs w:val="21"/>
          <w:highlight w:val="none"/>
        </w:rPr>
        <w:t>6.2在质保期内，卖方对合同约定的质量标准、技术标准负责，在此期间非买方原因出现的货物问题，卖方对货物问题及时提供服务，免费维修、更换损坏部件，并承担由此产生的一切损失；出现问题，服务必须做到24小时服务，省内有维保点的6小时内赶到现场，省内无维保点的12小时内赶到现场，并连续进行直至修复。在上述时限内卖方未赶到，买方可采取必要的补救措施，但其风险和费用由卖方全额承担，买方按合同规定,对卖方行使的其他权利不受影响在质保期外使用寿命内(请注明使用寿命)供方对设备提供终身服务，且对设备的维修只收取材料成本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7中标人提交一份有关质保及售后服务承诺书，至少包括下列内容：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7.1详细列明供应的货物保修、保养服务的内容、方法和提供的优惠条件。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eastAsiaTheme="minorEastAsia"/>
          <w:szCs w:val="21"/>
          <w:highlight w:val="none"/>
          <w:lang w:eastAsia="zh-CN"/>
        </w:rPr>
      </w:pPr>
      <w:r>
        <w:rPr>
          <w:rFonts w:hint="eastAsia" w:ascii="宋体" w:hAnsi="宋体" w:cs="宋体"/>
          <w:szCs w:val="21"/>
          <w:highlight w:val="none"/>
        </w:rPr>
        <w:t>8设备材料规格及具体质量要求</w:t>
      </w:r>
      <w:r>
        <w:rPr>
          <w:rFonts w:hint="eastAsia" w:ascii="宋体" w:hAnsi="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详见采购及安装项目清单中材质、规格、尺寸等相关要求。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投标人必须对招标文件中所提要求逐项做出实质性应答，任何差异必须列表说明。招标人只接受等同于或优于本技术规格书规定的技术指标和所使用的标准。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9</w:t>
      </w:r>
      <w:r>
        <w:rPr>
          <w:rFonts w:hint="eastAsia" w:ascii="宋体" w:hAnsi="宋体" w:cs="宋体"/>
          <w:szCs w:val="21"/>
          <w:highlight w:val="none"/>
          <w:lang w:eastAsia="zh-CN"/>
        </w:rPr>
        <w:t>.</w:t>
      </w:r>
      <w:r>
        <w:rPr>
          <w:rFonts w:hint="eastAsia" w:ascii="宋体" w:hAnsi="宋体" w:cs="宋体"/>
          <w:szCs w:val="21"/>
          <w:highlight w:val="none"/>
        </w:rPr>
        <w:t>提供的货物须包括以下不仅限于以下内容：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按</w:t>
      </w:r>
      <w:r>
        <w:rPr>
          <w:rFonts w:hint="eastAsia" w:ascii="宋体" w:hAnsi="宋体" w:cs="宋体"/>
          <w:szCs w:val="21"/>
          <w:highlight w:val="none"/>
        </w:rPr>
        <w:t>需方认可的方案进行货物的</w:t>
      </w:r>
      <w:r>
        <w:rPr>
          <w:rFonts w:hint="eastAsia" w:ascii="宋体" w:hAnsi="宋体" w:cs="宋体"/>
          <w:szCs w:val="21"/>
          <w:highlight w:val="none"/>
          <w:lang w:val="en-US" w:eastAsia="zh-CN"/>
        </w:rPr>
        <w:t>打包</w:t>
      </w:r>
      <w:r>
        <w:rPr>
          <w:rFonts w:hint="eastAsia" w:ascii="宋体" w:hAnsi="宋体" w:cs="宋体"/>
          <w:szCs w:val="21"/>
          <w:highlight w:val="none"/>
        </w:rPr>
        <w:t>，运输</w:t>
      </w:r>
      <w:r>
        <w:rPr>
          <w:rFonts w:hint="eastAsia" w:ascii="宋体" w:hAnsi="宋体" w:cs="宋体"/>
          <w:szCs w:val="21"/>
          <w:highlight w:val="none"/>
          <w:lang w:eastAsia="zh-CN"/>
        </w:rPr>
        <w:t>，</w:t>
      </w:r>
      <w:r>
        <w:rPr>
          <w:rFonts w:hint="eastAsia" w:ascii="宋体" w:hAnsi="宋体" w:cs="宋体"/>
          <w:szCs w:val="21"/>
          <w:highlight w:val="none"/>
          <w:lang w:val="en-US" w:eastAsia="zh-CN"/>
        </w:rPr>
        <w:t>安装</w:t>
      </w:r>
      <w:r>
        <w:rPr>
          <w:rFonts w:hint="eastAsia" w:ascii="宋体" w:hAnsi="宋体" w:cs="宋体"/>
          <w:szCs w:val="21"/>
          <w:highlight w:val="none"/>
        </w:rPr>
        <w:t>就位。</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）运输：货物运输并卸至需方指定地点。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）按采购人指定位置和要求完成安装就位（安装所需的设备</w:t>
      </w:r>
      <w:r>
        <w:rPr>
          <w:rFonts w:hint="eastAsia" w:ascii="宋体" w:hAnsi="宋体" w:cs="宋体"/>
          <w:szCs w:val="21"/>
          <w:highlight w:val="none"/>
          <w:lang w:eastAsia="zh-CN"/>
        </w:rPr>
        <w:t>、</w:t>
      </w:r>
      <w:r>
        <w:rPr>
          <w:rFonts w:hint="eastAsia" w:ascii="宋体" w:hAnsi="宋体" w:cs="宋体"/>
          <w:szCs w:val="21"/>
          <w:highlight w:val="none"/>
        </w:rPr>
        <w:t>工具、脚手架、水电。总包配合费等所有与完成有关的费用</w:t>
      </w:r>
      <w:r>
        <w:rPr>
          <w:rFonts w:hint="eastAsia" w:ascii="宋体" w:hAnsi="宋体" w:cs="宋体"/>
          <w:szCs w:val="21"/>
          <w:highlight w:val="none"/>
          <w:lang w:val="en-US" w:eastAsia="zh-CN"/>
        </w:rPr>
        <w:t>均</w:t>
      </w:r>
      <w:r>
        <w:rPr>
          <w:rFonts w:hint="eastAsia" w:ascii="宋体" w:hAnsi="宋体" w:cs="宋体"/>
          <w:szCs w:val="21"/>
          <w:highlight w:val="none"/>
        </w:rPr>
        <w:t>应包含在投标报价中）。</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）在货物就位、</w:t>
      </w:r>
      <w:r>
        <w:rPr>
          <w:rFonts w:hint="eastAsia" w:ascii="宋体" w:hAnsi="宋体" w:cs="宋体"/>
          <w:szCs w:val="21"/>
          <w:highlight w:val="none"/>
          <w:lang w:val="en-US" w:eastAsia="zh-CN"/>
        </w:rPr>
        <w:t>安</w:t>
      </w:r>
      <w:r>
        <w:rPr>
          <w:rFonts w:hint="eastAsia" w:ascii="宋体" w:hAnsi="宋体" w:cs="宋体"/>
          <w:szCs w:val="21"/>
          <w:highlight w:val="none"/>
        </w:rPr>
        <w:t>装之前须提供详细的构造图。货物</w:t>
      </w:r>
      <w:r>
        <w:rPr>
          <w:rFonts w:hint="eastAsia" w:ascii="宋体" w:hAnsi="宋体" w:cs="宋体"/>
          <w:szCs w:val="21"/>
          <w:highlight w:val="none"/>
          <w:lang w:val="en-US" w:eastAsia="zh-CN"/>
        </w:rPr>
        <w:t>样品</w:t>
      </w:r>
      <w:r>
        <w:rPr>
          <w:rFonts w:hint="eastAsia" w:ascii="宋体" w:hAnsi="宋体" w:cs="宋体"/>
          <w:szCs w:val="21"/>
          <w:highlight w:val="none"/>
        </w:rPr>
        <w:t>和使用操作说明书。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）所供货物通过有关部门的检验和试验</w:t>
      </w:r>
      <w:r>
        <w:rPr>
          <w:rFonts w:hint="eastAsia" w:ascii="宋体" w:hAnsi="宋体" w:cs="宋体"/>
          <w:szCs w:val="21"/>
          <w:highlight w:val="none"/>
          <w:lang w:eastAsia="zh-CN"/>
        </w:rPr>
        <w:t>，</w:t>
      </w:r>
      <w:r>
        <w:rPr>
          <w:rFonts w:hint="eastAsia" w:ascii="宋体" w:hAnsi="宋体" w:cs="宋体"/>
          <w:szCs w:val="21"/>
          <w:highlight w:val="none"/>
        </w:rPr>
        <w:t>并</w:t>
      </w:r>
      <w:r>
        <w:rPr>
          <w:rFonts w:hint="eastAsia" w:ascii="宋体" w:hAnsi="宋体" w:cs="宋体"/>
          <w:szCs w:val="21"/>
          <w:highlight w:val="none"/>
          <w:lang w:val="en-US" w:eastAsia="zh-CN"/>
        </w:rPr>
        <w:t>承</w:t>
      </w:r>
      <w:r>
        <w:rPr>
          <w:rFonts w:hint="eastAsia" w:ascii="宋体" w:hAnsi="宋体" w:cs="宋体"/>
          <w:szCs w:val="21"/>
          <w:highlight w:val="none"/>
        </w:rPr>
        <w:t>担所需费用。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）需方如需做第三方检测，检测合格检测费由需方负责，但检测材料须由供方免费提供；如检测不合格，一切费用由供方负责。</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）供方必须负责所提供的产品通过相关部门组织的验收，直至取得验收证书。验</w:t>
      </w:r>
      <w:r>
        <w:rPr>
          <w:rFonts w:hint="eastAsia"/>
        </w:rPr>
        <w:t>收费用包含在投标总价中。</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上述标准、规范及规程仅是本工程的最基本依据，并未包括实施中所涉及的所有标准、规范和规程，且这些标准、规范和规程均应为合同签订之日为止时的最新版本，不限制投标人使用国家现行有效的其他与本次比选货物有关的制造、安装的标准及规范。</w:t>
      </w:r>
    </w:p>
    <w:p>
      <w:pPr>
        <w:pStyle w:val="4"/>
        <w:numPr>
          <w:ilvl w:val="255"/>
          <w:numId w:val="0"/>
        </w:numPr>
        <w:spacing w:before="312" w:after="312"/>
        <w:ind w:left="402"/>
        <w:rPr>
          <w:rFonts w:hint="eastAsia" w:ascii="Times New Roman" w:hAnsi="Times New Roman" w:eastAsia="宋体" w:cs="Times New Roman"/>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宋体" w:cs="Times New Roman"/>
          <w:b/>
          <w:bCs/>
          <w:sz w:val="28"/>
          <w:szCs w:val="28"/>
        </w:rPr>
      </w:pPr>
      <w:bookmarkStart w:id="64" w:name="_Toc18078_WPSOffice_Level2"/>
      <w:r>
        <w:rPr>
          <w:rFonts w:hint="eastAsia" w:ascii="Times New Roman" w:hAnsi="Times New Roman" w:eastAsia="宋体" w:cs="Times New Roman"/>
          <w:b/>
          <w:bCs/>
          <w:sz w:val="28"/>
          <w:szCs w:val="28"/>
          <w:lang w:val="en-US" w:eastAsia="zh-CN"/>
        </w:rPr>
        <w:t>二、</w:t>
      </w:r>
      <w:r>
        <w:rPr>
          <w:rFonts w:hint="eastAsia" w:ascii="Times New Roman" w:hAnsi="Times New Roman" w:eastAsia="宋体" w:cs="Times New Roman"/>
          <w:b/>
          <w:bCs/>
          <w:sz w:val="28"/>
          <w:szCs w:val="28"/>
        </w:rPr>
        <w:t>工程量清单</w:t>
      </w:r>
      <w:bookmarkEnd w:id="64"/>
    </w:p>
    <w:p>
      <w:pPr>
        <w:pStyle w:val="2"/>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eastAsiaTheme="minorEastAsia"/>
          <w:lang w:val="en-US" w:eastAsia="zh-CN"/>
        </w:rPr>
      </w:pPr>
      <w:r>
        <w:rPr>
          <w:rFonts w:hint="eastAsia"/>
          <w:lang w:val="en-US" w:eastAsia="zh-CN"/>
        </w:rPr>
        <w:t>详见工程量清单附件</w:t>
      </w:r>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pStyle w:val="4"/>
        <w:numPr>
          <w:ilvl w:val="255"/>
          <w:numId w:val="0"/>
        </w:numPr>
        <w:spacing w:before="312" w:after="312"/>
        <w:ind w:left="402"/>
        <w:jc w:val="center"/>
        <w:rPr>
          <w:rFonts w:hint="eastAsia" w:ascii="Times New Roman" w:hAnsi="Times New Roman" w:eastAsia="宋体" w:cs="Times New Roman"/>
        </w:rPr>
      </w:pPr>
      <w:bookmarkStart w:id="65" w:name="_Toc27519"/>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bookmarkEnd w:id="65"/>
    </w:p>
    <w:p>
      <w:pPr>
        <w:jc w:val="left"/>
        <w:rPr>
          <w:rFonts w:ascii="Times New Roman" w:hAnsi="Times New Roman" w:eastAsia="宋体" w:cs="Times New Roman"/>
        </w:rPr>
      </w:pPr>
      <w:r>
        <w:rPr>
          <w:rFonts w:ascii="Times New Roman" w:hAnsi="Times New Roman" w:eastAsia="宋体" w:cs="Times New Roman"/>
        </w:rPr>
        <w:br w:type="page"/>
      </w: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66" w:name="_Toc29687_WPSOffice_Level1"/>
      <w:bookmarkStart w:id="67" w:name="_Toc1914_WPSOffice_Level1"/>
      <w:bookmarkStart w:id="68" w:name="_Toc32044_WPSOffice_Level1"/>
      <w:bookmarkStart w:id="69" w:name="_Toc10484_WPSOffice_Level1"/>
      <w:bookmarkStart w:id="70" w:name="_Toc17394_WPSOffice_Level1"/>
      <w:r>
        <w:rPr>
          <w:rFonts w:ascii="Times New Roman" w:hAnsi="Times New Roman" w:eastAsia="黑体" w:cs="Times New Roman"/>
          <w:sz w:val="50"/>
          <w:szCs w:val="50"/>
        </w:rPr>
        <w:t>响  应  文  件</w:t>
      </w:r>
      <w:bookmarkEnd w:id="66"/>
      <w:bookmarkEnd w:id="67"/>
      <w:bookmarkEnd w:id="68"/>
      <w:bookmarkEnd w:id="69"/>
      <w:bookmarkEnd w:id="70"/>
    </w:p>
    <w:p>
      <w:pPr>
        <w:pStyle w:val="19"/>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（商务技术文件）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71" w:name="_Toc25232_WPSOffice_Level2"/>
      <w:bookmarkStart w:id="72" w:name="_Toc5520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71"/>
      <w:bookmarkEnd w:id="72"/>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bookmarkStart w:id="73" w:name="_Toc31577_WPSOffice_Level2"/>
      <w:bookmarkStart w:id="74"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3"/>
      <w:bookmarkEnd w:id="74"/>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5" w:name="_Toc21974_WPSOffice_Level2"/>
      <w:bookmarkStart w:id="76" w:name="_Toc22351_WPSOffice_Level2"/>
      <w:r>
        <w:rPr>
          <w:rFonts w:ascii="Times New Roman" w:hAnsi="Times New Roman" w:eastAsia="黑体" w:cs="Times New Roman"/>
          <w:sz w:val="28"/>
          <w:szCs w:val="28"/>
        </w:rPr>
        <w:t>目     录</w:t>
      </w:r>
      <w:bookmarkEnd w:id="75"/>
      <w:bookmarkEnd w:id="76"/>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77" w:name="_Toc6353_WPSOffice_Level1"/>
      <w:bookmarkStart w:id="78" w:name="_Toc5842_WPSOffice_Level1"/>
      <w:bookmarkStart w:id="79" w:name="_Toc11424_WPSOffice_Level1"/>
      <w:bookmarkStart w:id="80" w:name="_Toc23368_WPSOffice_Level1"/>
      <w:bookmarkStart w:id="81" w:name="_Toc30529_WPSOffice_Level1"/>
      <w:bookmarkStart w:id="82" w:name="_Toc12670_WPSOffice_Level1"/>
      <w:r>
        <w:rPr>
          <w:rFonts w:ascii="Times New Roman" w:hAnsi="Times New Roman" w:eastAsia="黑体" w:cs="Times New Roman"/>
          <w:sz w:val="24"/>
        </w:rPr>
        <w:t>一、</w:t>
      </w:r>
      <w:r>
        <w:rPr>
          <w:rFonts w:hint="eastAsia" w:ascii="Times New Roman" w:hAnsi="Times New Roman" w:eastAsia="黑体" w:cs="Times New Roman"/>
          <w:sz w:val="24"/>
          <w:lang w:val="en-US" w:eastAsia="zh-CN"/>
        </w:rPr>
        <w:t>响应</w:t>
      </w:r>
      <w:r>
        <w:rPr>
          <w:rFonts w:ascii="Times New Roman" w:hAnsi="Times New Roman" w:eastAsia="黑体" w:cs="Times New Roman"/>
          <w:sz w:val="24"/>
        </w:rPr>
        <w:t>函</w:t>
      </w:r>
      <w:bookmarkEnd w:id="77"/>
      <w:bookmarkEnd w:id="78"/>
      <w:bookmarkEnd w:id="79"/>
      <w:bookmarkEnd w:id="80"/>
      <w:bookmarkEnd w:id="81"/>
    </w:p>
    <w:p>
      <w:pPr>
        <w:spacing w:line="440" w:lineRule="exact"/>
        <w:ind w:left="1619" w:leftChars="771"/>
        <w:rPr>
          <w:rFonts w:ascii="Times New Roman" w:hAnsi="Times New Roman" w:eastAsia="黑体" w:cs="Times New Roman"/>
          <w:sz w:val="24"/>
        </w:rPr>
      </w:pPr>
      <w:bookmarkStart w:id="83" w:name="_Toc30428_WPSOffice_Level1"/>
      <w:bookmarkStart w:id="84" w:name="_Toc31927_WPSOffice_Level1"/>
      <w:bookmarkStart w:id="85" w:name="_Toc32729_WPSOffice_Level1"/>
      <w:bookmarkStart w:id="86" w:name="_Toc5317_WPSOffice_Level1"/>
      <w:bookmarkStart w:id="87" w:name="_Toc21229_WPSOffice_Level1"/>
      <w:r>
        <w:rPr>
          <w:rFonts w:ascii="Times New Roman" w:hAnsi="Times New Roman" w:eastAsia="黑体" w:cs="Times New Roman"/>
          <w:sz w:val="24"/>
        </w:rPr>
        <w:t>二、法定代表人身份证明及授权委托书</w:t>
      </w:r>
      <w:bookmarkEnd w:id="83"/>
      <w:bookmarkEnd w:id="84"/>
      <w:bookmarkEnd w:id="85"/>
      <w:bookmarkEnd w:id="86"/>
      <w:bookmarkEnd w:id="87"/>
    </w:p>
    <w:p>
      <w:pPr>
        <w:spacing w:line="440" w:lineRule="exact"/>
        <w:ind w:left="1619" w:leftChars="771"/>
        <w:rPr>
          <w:rFonts w:ascii="Times New Roman" w:hAnsi="Times New Roman" w:eastAsia="黑体" w:cs="Times New Roman"/>
          <w:sz w:val="24"/>
        </w:rPr>
      </w:pPr>
      <w:bookmarkStart w:id="88" w:name="_Toc21853_WPSOffice_Level1"/>
      <w:bookmarkStart w:id="89" w:name="_Toc4728_WPSOffice_Level1"/>
      <w:bookmarkStart w:id="90" w:name="_Toc23356_WPSOffice_Level1"/>
      <w:bookmarkStart w:id="91" w:name="_Toc25965_WPSOffice_Level1"/>
      <w:bookmarkStart w:id="92"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w:t>
      </w:r>
      <w:r>
        <w:rPr>
          <w:rFonts w:hint="eastAsia" w:ascii="Times New Roman" w:hAnsi="Times New Roman" w:eastAsia="黑体" w:cs="Times New Roman"/>
          <w:sz w:val="24"/>
        </w:rPr>
        <w:t>供应商基本情况</w:t>
      </w:r>
    </w:p>
    <w:bookmarkEnd w:id="88"/>
    <w:bookmarkEnd w:id="89"/>
    <w:bookmarkEnd w:id="90"/>
    <w:bookmarkEnd w:id="91"/>
    <w:bookmarkEnd w:id="92"/>
    <w:p>
      <w:pPr>
        <w:spacing w:line="440" w:lineRule="exact"/>
        <w:ind w:left="1619" w:leftChars="771"/>
        <w:rPr>
          <w:rFonts w:hint="eastAsia" w:ascii="Times New Roman" w:hAnsi="Times New Roman" w:eastAsia="黑体" w:cs="Times New Roman"/>
          <w:sz w:val="24"/>
        </w:rPr>
      </w:pPr>
      <w:bookmarkStart w:id="93" w:name="_Toc7453_WPSOffice_Level1"/>
      <w:bookmarkStart w:id="94" w:name="_Toc18964_WPSOffice_Level1"/>
      <w:bookmarkStart w:id="95" w:name="_Toc23744_WPSOffice_Level1"/>
      <w:bookmarkStart w:id="96" w:name="_Toc10608_WPSOffice_Level1"/>
      <w:bookmarkStart w:id="97" w:name="_Toc29870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93"/>
      <w:bookmarkEnd w:id="94"/>
      <w:bookmarkEnd w:id="95"/>
      <w:bookmarkEnd w:id="96"/>
      <w:bookmarkEnd w:id="97"/>
      <w:bookmarkStart w:id="98" w:name="_Toc24262_WPSOffice_Level1"/>
      <w:bookmarkStart w:id="99" w:name="_Toc12459_WPSOffice_Level1"/>
      <w:r>
        <w:rPr>
          <w:rFonts w:hint="eastAsia" w:ascii="Times New Roman" w:hAnsi="Times New Roman" w:eastAsia="黑体" w:cs="Times New Roman"/>
          <w:sz w:val="24"/>
        </w:rPr>
        <w:t>近年类似业绩情况</w:t>
      </w:r>
    </w:p>
    <w:p>
      <w:pPr>
        <w:spacing w:line="440" w:lineRule="exact"/>
        <w:ind w:left="1619" w:leftChars="771"/>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r>
        <w:rPr>
          <w:rFonts w:hint="eastAsia" w:ascii="Times New Roman" w:hAnsi="Times New Roman" w:eastAsia="黑体" w:cs="Times New Roman"/>
          <w:sz w:val="24"/>
        </w:rPr>
        <w:t>信誉情况</w:t>
      </w:r>
    </w:p>
    <w:p>
      <w:pPr>
        <w:spacing w:line="440" w:lineRule="exact"/>
        <w:ind w:left="1619" w:leftChars="771"/>
        <w:rPr>
          <w:rFonts w:hint="eastAsia" w:ascii="Times New Roman" w:hAnsi="Times New Roman" w:eastAsia="黑体" w:cs="Times New Roman"/>
          <w:sz w:val="24"/>
        </w:rPr>
      </w:pPr>
      <w:bookmarkStart w:id="100" w:name="_Toc927_WPSOffice_Level1"/>
      <w:bookmarkStart w:id="101" w:name="_Toc20930_WPSOffice_Level1"/>
      <w:bookmarkStart w:id="102" w:name="_Toc32220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98"/>
      <w:bookmarkEnd w:id="99"/>
      <w:bookmarkEnd w:id="100"/>
      <w:bookmarkEnd w:id="101"/>
      <w:bookmarkEnd w:id="102"/>
      <w:r>
        <w:rPr>
          <w:rFonts w:hint="eastAsia" w:ascii="Times New Roman" w:hAnsi="Times New Roman" w:eastAsia="黑体" w:cs="Times New Roman"/>
          <w:sz w:val="24"/>
          <w:lang w:val="en-US" w:eastAsia="zh-CN"/>
        </w:rPr>
        <w:t>供货方案</w:t>
      </w:r>
    </w:p>
    <w:p>
      <w:pPr>
        <w:spacing w:line="440" w:lineRule="exact"/>
        <w:ind w:left="1619" w:leftChars="771"/>
        <w:rPr>
          <w:rFonts w:hint="eastAsia" w:ascii="Times New Roman" w:hAnsi="Times New Roman" w:eastAsia="黑体" w:cs="Times New Roman"/>
          <w:sz w:val="24"/>
        </w:rPr>
      </w:pPr>
      <w:bookmarkStart w:id="103" w:name="_Toc16988_WPSOffice_Level1"/>
      <w:bookmarkStart w:id="104" w:name="_Toc5885_WPSOffice_Level1"/>
      <w:bookmarkStart w:id="105" w:name="_Toc25973_WPSOffice_Level1"/>
      <w:r>
        <w:rPr>
          <w:rFonts w:hint="eastAsia" w:ascii="Times New Roman" w:hAnsi="Times New Roman" w:eastAsia="黑体" w:cs="Times New Roman"/>
          <w:sz w:val="24"/>
        </w:rPr>
        <w:t>七、其他材料</w:t>
      </w:r>
      <w:bookmarkEnd w:id="82"/>
      <w:bookmarkEnd w:id="103"/>
      <w:bookmarkEnd w:id="104"/>
      <w:bookmarkEnd w:id="105"/>
    </w:p>
    <w:p>
      <w:pPr>
        <w:pStyle w:val="19"/>
      </w:pP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06" w:name="_Toc1362_WPSOffice_Level1"/>
      <w:bookmarkStart w:id="107" w:name="_Toc18312_WPSOffice_Level1"/>
      <w:bookmarkStart w:id="108" w:name="_Toc2765_WPSOffice_Level1"/>
      <w:bookmarkStart w:id="109" w:name="_Toc1687_WPSOffice_Level1"/>
      <w:bookmarkStart w:id="110" w:name="_Toc1017_WPSOffice_Level1"/>
      <w:bookmarkStart w:id="111" w:name="_Toc3972_WPSOffice_Level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w:t>
      </w:r>
      <w:r>
        <w:rPr>
          <w:rFonts w:hint="eastAsia" w:ascii="Times New Roman" w:hAnsi="Times New Roman" w:eastAsia="黑体" w:cs="Times New Roman"/>
          <w:sz w:val="28"/>
          <w:szCs w:val="28"/>
        </w:rPr>
        <w:t>响应函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imes New Roman" w:hAnsi="Times New Roman" w:cs="Times New Roman"/>
          <w:sz w:val="24"/>
        </w:rPr>
        <w:t>采购人名称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sz w:val="24"/>
        </w:rPr>
      </w:pPr>
      <w:r>
        <w:rPr>
          <w:rFonts w:hint="default" w:ascii="Times New Roman" w:hAnsi="Times New Roman" w:eastAsia="宋体" w:cs="Times New Roman"/>
          <w:sz w:val="24"/>
          <w:szCs w:val="24"/>
        </w:rPr>
        <w:t>1．</w:t>
      </w: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（项目名称）招标文件的全部内容，愿意以报价文件中的投标总报价（或根据招标文件规定修正核实后确定的另一金额）提供</w:t>
      </w:r>
      <w:r>
        <w:rPr>
          <w:rFonts w:hint="eastAsia" w:ascii="Times New Roman" w:hAnsi="Times New Roman" w:cs="Times New Roman"/>
          <w:sz w:val="24"/>
          <w:lang w:val="en-US" w:eastAsia="zh-CN"/>
        </w:rPr>
        <w:t>提供招标文件要求的货物、技术服务和质保售后服务，并按合同约定履行义务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我方承诺响应招标文件的全部要求。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我方承诺在招标文件规定的投标有效期内不撤销投标文件。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4．</w:t>
      </w:r>
      <w:r>
        <w:rPr>
          <w:rFonts w:hint="eastAsia" w:ascii="宋体" w:hAnsi="宋体" w:eastAsia="宋体" w:cs="宋体"/>
          <w:sz w:val="24"/>
          <w:szCs w:val="24"/>
        </w:rPr>
        <w:t>如我方中标，我方承诺：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（3）按照招标文件要求提交履约保证金。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5．</w:t>
      </w:r>
      <w:r>
        <w:rPr>
          <w:rFonts w:hint="eastAsia" w:ascii="宋体" w:hAnsi="宋体" w:eastAsia="宋体" w:cs="宋体"/>
          <w:sz w:val="24"/>
          <w:szCs w:val="24"/>
        </w:rPr>
        <w:t>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6．</w:t>
      </w:r>
      <w:r>
        <w:rPr>
          <w:rFonts w:hint="eastAsia" w:ascii="宋体" w:hAnsi="宋体" w:eastAsia="宋体" w:cs="宋体"/>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7．</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19"/>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6"/>
        <w:outlineLvl w:val="9"/>
        <w:rPr>
          <w:rFonts w:ascii="Times New Roman" w:hAnsi="Times New Roman" w:eastAsia="黑体" w:cs="Times New Roman"/>
          <w:sz w:val="20"/>
          <w:szCs w:val="20"/>
        </w:rPr>
      </w:pPr>
    </w:p>
    <w:p/>
    <w:bookmarkEnd w:id="106"/>
    <w:bookmarkEnd w:id="107"/>
    <w:bookmarkEnd w:id="108"/>
    <w:bookmarkEnd w:id="109"/>
    <w:bookmarkEnd w:id="110"/>
    <w:bookmarkEnd w:id="111"/>
    <w:p>
      <w:pPr>
        <w:spacing w:line="440" w:lineRule="exact"/>
        <w:jc w:val="center"/>
        <w:rPr>
          <w:rFonts w:ascii="Times New Roman" w:hAnsi="Times New Roman" w:eastAsia="黑体" w:cs="Times New Roman"/>
          <w:sz w:val="28"/>
          <w:szCs w:val="28"/>
        </w:rPr>
      </w:pPr>
      <w:bookmarkStart w:id="112" w:name="_Toc1996_WPSOffice_Level1"/>
      <w:bookmarkStart w:id="113" w:name="_Toc4951_WPSOffice_Level1"/>
      <w:bookmarkStart w:id="114" w:name="_Toc32350_WPSOffice_Level1"/>
      <w:bookmarkStart w:id="115" w:name="_Toc21740_WPSOffice_Level1"/>
      <w:bookmarkStart w:id="116" w:name="_Toc14563_WPSOffice_Level1"/>
      <w:bookmarkStart w:id="117" w:name="_Toc18668_WPSOffice_Level1"/>
      <w:r>
        <w:rPr>
          <w:rFonts w:ascii="Times New Roman" w:hAnsi="Times New Roman" w:eastAsia="黑体" w:cs="Times New Roman"/>
          <w:sz w:val="28"/>
          <w:szCs w:val="28"/>
        </w:rPr>
        <w:t>二、法定代表人身份证明及授权委托书</w:t>
      </w:r>
      <w:bookmarkEnd w:id="112"/>
      <w:bookmarkEnd w:id="113"/>
      <w:bookmarkEnd w:id="114"/>
      <w:bookmarkEnd w:id="115"/>
      <w:bookmarkEnd w:id="116"/>
      <w:bookmarkEnd w:id="117"/>
    </w:p>
    <w:p>
      <w:pPr>
        <w:spacing w:line="440" w:lineRule="exact"/>
        <w:jc w:val="center"/>
        <w:rPr>
          <w:rFonts w:ascii="Times New Roman" w:hAnsi="Times New Roman" w:cs="Times New Roman"/>
          <w:sz w:val="28"/>
          <w:szCs w:val="28"/>
        </w:rPr>
      </w:pPr>
      <w:bookmarkStart w:id="118" w:name="_Toc5153_WPSOffice_Level2"/>
      <w:bookmarkStart w:id="119" w:name="_Toc20803_WPSOffice_Level2"/>
      <w:r>
        <w:rPr>
          <w:rFonts w:ascii="Times New Roman" w:hAnsi="Times New Roman" w:eastAsia="黑体" w:cs="Times New Roman"/>
          <w:bCs/>
          <w:sz w:val="28"/>
          <w:szCs w:val="28"/>
        </w:rPr>
        <w:t>2-1 法定代表人身份证明</w:t>
      </w:r>
      <w:bookmarkEnd w:id="118"/>
      <w:bookmarkEnd w:id="119"/>
    </w:p>
    <w:p>
      <w:pPr>
        <w:spacing w:line="440" w:lineRule="exact"/>
        <w:rPr>
          <w:rFonts w:ascii="Times New Roman" w:hAnsi="Times New Roman" w:cs="Times New Roman"/>
          <w:sz w:val="20"/>
          <w:szCs w:val="20"/>
        </w:rPr>
      </w:pP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(供应商名称)的法定代表人。</w:t>
      </w:r>
    </w:p>
    <w:p>
      <w:pPr>
        <w:spacing w:line="440" w:lineRule="exact"/>
        <w:ind w:firstLine="480" w:firstLineChars="200"/>
        <w:rPr>
          <w:rFonts w:hint="eastAsia"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宋体" w:hAnsi="宋体" w:eastAsia="宋体" w:cs="宋体"/>
          <w:sz w:val="24"/>
        </w:rPr>
      </w:pPr>
      <w:r>
        <w:rPr>
          <w:rFonts w:ascii="Times New Roman" w:hAnsi="Times New Roman" w:cs="Times New Roman"/>
          <w:sz w:val="24"/>
        </w:rPr>
        <w:t xml:space="preserve">                         </w:t>
      </w: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440" w:lineRule="exact"/>
        <w:rPr>
          <w:rFonts w:ascii="Times New Roman" w:hAnsi="Times New Roman" w:cs="Times New Roman"/>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r>
        <w:rPr>
          <w:rFonts w:ascii="Times New Roman" w:hAnsi="Times New Roman" w:cs="Times New Roman"/>
          <w:sz w:val="24"/>
        </w:rPr>
        <w:t xml:space="preserve">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cs="Times New Roman" w:eastAsiaTheme="minorEastAsia"/>
          <w:sz w:val="28"/>
          <w:szCs w:val="28"/>
          <w:lang w:eastAsia="zh-CN"/>
        </w:rPr>
      </w:pPr>
      <w:r>
        <w:rPr>
          <w:rFonts w:ascii="Times New Roman" w:hAnsi="Times New Roman" w:eastAsia="黑体" w:cs="Times New Roman"/>
          <w:sz w:val="24"/>
        </w:rPr>
        <w:br w:type="page"/>
      </w:r>
      <w:bookmarkStart w:id="120" w:name="_Toc12035_WPSOffice_Level2"/>
      <w:bookmarkStart w:id="121"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0"/>
      <w:bookmarkEnd w:id="121"/>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highlight w:val="yellow"/>
        </w:rPr>
      </w:pPr>
      <w:r>
        <w:rPr>
          <w:rFonts w:ascii="Times New Roman" w:hAnsi="Times New Roman" w:cs="Times New Roman"/>
          <w:sz w:val="24"/>
          <w:highlight w:val="yellow"/>
        </w:rPr>
        <w:t>附：法定代表人身份证明</w:t>
      </w:r>
      <w:r>
        <w:rPr>
          <w:rFonts w:hint="eastAsia" w:ascii="Times New Roman" w:hAnsi="Times New Roman" w:cs="Times New Roman"/>
          <w:sz w:val="24"/>
          <w:highlight w:val="yellow"/>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heme="minorEastAsia" w:hAnsiTheme="minorEastAsia" w:eastAsiaTheme="minorEastAsia" w:cstheme="minorEastAsia"/>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hint="eastAsia" w:ascii="宋体" w:hAnsi="宋体" w:eastAsia="宋体" w:cs="宋体"/>
          <w:sz w:val="24"/>
          <w:szCs w:val="24"/>
        </w:rPr>
        <w:t>（签字）</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3000" w:firstLineChars="1250"/>
        <w:rPr>
          <w:rFonts w:ascii="Times New Roman" w:hAnsi="Times New Roman" w:eastAsia="黑体" w:cs="Times New Roman"/>
          <w:sz w:val="24"/>
        </w:rPr>
        <w:sectPr>
          <w:footerReference r:id="rId12"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bookmarkStart w:id="122" w:name="_Toc24530_WPSOffice_Level1"/>
      <w:bookmarkStart w:id="123" w:name="_Toc27513_WPSOffice_Level1"/>
      <w:bookmarkStart w:id="124" w:name="_Toc26364_WPSOffice_Level1"/>
      <w:bookmarkStart w:id="125" w:name="_Toc24567_WPSOffice_Level1"/>
      <w:bookmarkStart w:id="126" w:name="_Toc28828_WPSOffice_Level1"/>
      <w:bookmarkStart w:id="127" w:name="_Toc32085_WPSOffice_Level1"/>
    </w:p>
    <w:bookmarkEnd w:id="122"/>
    <w:bookmarkEnd w:id="123"/>
    <w:bookmarkEnd w:id="124"/>
    <w:bookmarkEnd w:id="125"/>
    <w:bookmarkEnd w:id="126"/>
    <w:bookmarkEnd w:id="127"/>
    <w:p>
      <w:pPr>
        <w:topLinePunct/>
        <w:spacing w:line="440" w:lineRule="exact"/>
        <w:jc w:val="center"/>
        <w:rPr>
          <w:rFonts w:ascii="Times New Roman" w:hAnsi="Times New Roman" w:eastAsia="黑体" w:cs="Times New Roman"/>
          <w:sz w:val="28"/>
          <w:szCs w:val="28"/>
        </w:rPr>
      </w:pPr>
      <w:bookmarkStart w:id="128" w:name="_Toc17124_WPSOffice_Level1"/>
      <w:bookmarkStart w:id="129" w:name="_Toc10436_WPSOffice_Level1"/>
      <w:bookmarkStart w:id="130" w:name="_Toc31445_WPSOffice_Level1"/>
      <w:bookmarkStart w:id="131" w:name="_Toc19015_WPSOffice_Level1"/>
      <w:bookmarkStart w:id="132" w:name="_Toc10646_WPSOffice_Level1"/>
      <w:bookmarkStart w:id="133" w:name="_Toc7738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34" w:name="_Toc2807_WPSOffice_Level2"/>
      <w:bookmarkStart w:id="135" w:name="_Toc27600_WPSOffice_Level2"/>
      <w:r>
        <w:rPr>
          <w:rFonts w:ascii="Times New Roman" w:hAnsi="Times New Roman" w:eastAsia="黑体" w:cs="Times New Roman"/>
          <w:sz w:val="28"/>
          <w:szCs w:val="28"/>
        </w:rPr>
        <w:t>供应商基本情况</w:t>
      </w:r>
      <w:bookmarkEnd w:id="128"/>
      <w:bookmarkEnd w:id="129"/>
      <w:bookmarkEnd w:id="130"/>
      <w:bookmarkEnd w:id="131"/>
      <w:bookmarkEnd w:id="132"/>
      <w:bookmarkEnd w:id="133"/>
      <w:bookmarkEnd w:id="134"/>
      <w:bookmarkEnd w:id="135"/>
    </w:p>
    <w:p>
      <w:pPr>
        <w:topLinePunct/>
        <w:spacing w:line="440" w:lineRule="exact"/>
        <w:jc w:val="center"/>
        <w:rPr>
          <w:rFonts w:ascii="Times New Roman" w:hAnsi="Times New Roman" w:cs="Times New Roman"/>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sz w:val="21"/>
          <w:szCs w:val="21"/>
        </w:rPr>
      </w:pPr>
      <w:r>
        <w:rPr>
          <w:rFonts w:ascii="Times New Roman" w:hAnsi="Times New Roman" w:eastAsia="黑体" w:cs="Times New Roman"/>
          <w:sz w:val="21"/>
          <w:szCs w:val="21"/>
        </w:rPr>
        <w:t>在本表后应附企业法人营业执照、资质证书</w:t>
      </w:r>
      <w:r>
        <w:rPr>
          <w:rFonts w:hint="eastAsia" w:ascii="Times New Roman" w:hAnsi="Times New Roman" w:eastAsia="黑体" w:cs="Times New Roman"/>
          <w:sz w:val="21"/>
          <w:szCs w:val="21"/>
          <w:lang w:eastAsia="zh-CN"/>
        </w:rPr>
        <w:t>（</w:t>
      </w:r>
      <w:r>
        <w:rPr>
          <w:rFonts w:hint="eastAsia" w:ascii="Times New Roman" w:hAnsi="Times New Roman" w:eastAsia="黑体" w:cs="Times New Roman"/>
          <w:sz w:val="21"/>
          <w:szCs w:val="21"/>
          <w:lang w:val="en-US" w:eastAsia="zh-CN"/>
        </w:rPr>
        <w:t>如有</w:t>
      </w:r>
      <w:r>
        <w:rPr>
          <w:rFonts w:hint="eastAsia" w:ascii="Times New Roman" w:hAnsi="Times New Roman" w:eastAsia="黑体" w:cs="Times New Roman"/>
          <w:sz w:val="21"/>
          <w:szCs w:val="21"/>
          <w:lang w:eastAsia="zh-CN"/>
        </w:rPr>
        <w:t>）</w:t>
      </w:r>
      <w:r>
        <w:rPr>
          <w:rFonts w:ascii="Times New Roman" w:hAnsi="Times New Roman" w:eastAsia="黑体" w:cs="Times New Roman"/>
          <w:sz w:val="21"/>
          <w:szCs w:val="21"/>
        </w:rPr>
        <w:t>、</w:t>
      </w:r>
      <w:r>
        <w:rPr>
          <w:rFonts w:hint="eastAsia" w:ascii="Times New Roman" w:hAnsi="Times New Roman" w:eastAsia="黑体" w:cs="Times New Roman"/>
          <w:sz w:val="21"/>
          <w:szCs w:val="21"/>
          <w:lang w:val="en-US" w:eastAsia="zh-CN"/>
        </w:rPr>
        <w:t>制造商</w:t>
      </w:r>
      <w:r>
        <w:rPr>
          <w:rFonts w:hint="eastAsia" w:ascii="Times New Roman" w:hAnsi="Times New Roman" w:eastAsia="黑体" w:cs="Times New Roman"/>
          <w:sz w:val="21"/>
          <w:szCs w:val="21"/>
          <w:highlight w:val="none"/>
          <w:lang w:val="en-US" w:eastAsia="zh-CN"/>
        </w:rPr>
        <w:t>授权书等证明材料（如有）</w:t>
      </w:r>
      <w:r>
        <w:rPr>
          <w:rFonts w:ascii="Times New Roman" w:hAnsi="Times New Roman" w:eastAsia="黑体" w:cs="Times New Roman"/>
          <w:sz w:val="21"/>
          <w:szCs w:val="21"/>
        </w:rPr>
        <w:t>及资格审查要求的其他证件复印件。</w:t>
      </w:r>
    </w:p>
    <w:p>
      <w:pPr>
        <w:keepNext w:val="0"/>
        <w:keepLines w:val="0"/>
        <w:pageBreakBefore w:val="0"/>
        <w:widowControl/>
        <w:kinsoku/>
        <w:wordWrap/>
        <w:overflowPunct/>
        <w:topLinePunct w:val="0"/>
        <w:autoSpaceDE w:val="0"/>
        <w:autoSpaceDN w:val="0"/>
        <w:bidi w:val="0"/>
        <w:adjustRightInd/>
        <w:snapToGrid/>
        <w:spacing w:line="360" w:lineRule="atLeast"/>
        <w:ind w:left="420" w:leftChars="200" w:firstLine="420" w:firstLineChars="200"/>
        <w:textAlignment w:val="bottom"/>
        <w:rPr>
          <w:rFonts w:ascii="Times New Roman" w:hAnsi="Times New Roman" w:eastAsia="黑体" w:cs="Times New Roman"/>
          <w:szCs w:val="21"/>
        </w:rPr>
      </w:pPr>
    </w:p>
    <w:p>
      <w:pPr>
        <w:spacing w:line="360" w:lineRule="auto"/>
        <w:ind w:firstLine="2520" w:firstLineChars="1200"/>
        <w:rPr>
          <w:rFonts w:hint="eastAsia" w:hAnsi="宋体" w:cs="宋体"/>
          <w:bCs/>
          <w:color w:val="auto"/>
        </w:rPr>
      </w:pPr>
      <w:r>
        <w:rPr>
          <w:rFonts w:ascii="Times New Roman" w:hAnsi="Times New Roman" w:eastAsia="黑体" w:cs="Times New Roman"/>
          <w:szCs w:val="21"/>
        </w:rPr>
        <w:br w:type="page"/>
      </w:r>
    </w:p>
    <w:p>
      <w:pPr>
        <w:bidi w:val="0"/>
        <w:jc w:val="center"/>
        <w:rPr>
          <w:rFonts w:hint="eastAsia" w:ascii="黑体" w:hAnsi="黑体" w:eastAsia="黑体" w:cs="黑体"/>
          <w:sz w:val="28"/>
          <w:szCs w:val="28"/>
        </w:rPr>
      </w:pPr>
      <w:bookmarkStart w:id="136" w:name="_Toc19004_WPSOffice_Level1"/>
      <w:bookmarkStart w:id="137" w:name="_Toc18547_WPSOffice_Level1"/>
      <w:bookmarkStart w:id="138" w:name="_Toc1452_WPSOffice_Level1"/>
      <w:bookmarkStart w:id="139" w:name="_Toc5072_WPSOffice_Level1"/>
      <w:bookmarkStart w:id="140" w:name="_Toc3772_WPSOffice_Level1"/>
      <w:bookmarkStart w:id="141" w:name="_Toc3912"/>
      <w:r>
        <w:rPr>
          <w:rFonts w:hint="eastAsia" w:ascii="黑体" w:hAnsi="黑体" w:eastAsia="黑体" w:cs="黑体"/>
          <w:sz w:val="28"/>
          <w:szCs w:val="28"/>
          <w:lang w:val="en-US" w:eastAsia="zh-CN"/>
        </w:rPr>
        <w:t>四</w:t>
      </w:r>
      <w:r>
        <w:rPr>
          <w:rFonts w:hint="eastAsia" w:ascii="黑体" w:hAnsi="黑体" w:eastAsia="黑体" w:cs="黑体"/>
          <w:sz w:val="28"/>
          <w:szCs w:val="28"/>
        </w:rPr>
        <w:t>、近年类似业绩情况</w:t>
      </w:r>
      <w:bookmarkEnd w:id="136"/>
      <w:bookmarkEnd w:id="137"/>
      <w:bookmarkEnd w:id="138"/>
      <w:bookmarkEnd w:id="139"/>
      <w:bookmarkEnd w:id="140"/>
      <w:bookmarkEnd w:id="141"/>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业主代表姓名</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lang w:val="en-US" w:eastAsia="zh-CN"/>
              </w:rPr>
              <w:t>供货</w:t>
            </w:r>
            <w:r>
              <w:rPr>
                <w:rFonts w:hint="eastAsia" w:ascii="Times New Roman" w:hAnsi="Times New Roman" w:cs="Times New Roman"/>
                <w:szCs w:val="21"/>
              </w:rPr>
              <w:t>内容</w:t>
            </w:r>
            <w:r>
              <w:rPr>
                <w:rFonts w:ascii="Times New Roman" w:hAnsi="Times New Roman" w:cs="Times New Roman"/>
                <w:szCs w:val="21"/>
              </w:rPr>
              <w:t>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 w:val="20"/>
          <w:szCs w:val="20"/>
        </w:rPr>
      </w:pPr>
      <w:r>
        <w:rPr>
          <w:rFonts w:ascii="Times New Roman" w:hAnsi="Times New Roman" w:eastAsia="黑体" w:cs="Times New Roman"/>
          <w:sz w:val="20"/>
          <w:szCs w:val="20"/>
        </w:rPr>
        <w:t>注：</w:t>
      </w:r>
    </w:p>
    <w:p>
      <w:pPr>
        <w:keepNext w:val="0"/>
        <w:keepLines w:val="0"/>
        <w:pageBreakBefore w:val="0"/>
        <w:widowControl/>
        <w:numPr>
          <w:ilvl w:val="0"/>
          <w:numId w:val="4"/>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rPr>
      </w:pPr>
      <w:r>
        <w:rPr>
          <w:rFonts w:hint="eastAsia" w:ascii="黑体" w:hAnsi="黑体" w:eastAsia="黑体" w:cs="黑体"/>
          <w:sz w:val="21"/>
          <w:szCs w:val="21"/>
        </w:rPr>
        <w:t>每张表格只填写一个项目，并标明序号。</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hint="default" w:ascii="黑体" w:hAnsi="黑体" w:eastAsia="黑体" w:cs="黑体"/>
          <w:sz w:val="21"/>
          <w:szCs w:val="21"/>
          <w:lang w:val="en-US" w:eastAsia="zh-CN"/>
        </w:rPr>
      </w:pPr>
      <w:r>
        <w:rPr>
          <w:rFonts w:hint="eastAsia" w:ascii="黑体" w:hAnsi="黑体" w:eastAsia="黑体" w:cs="黑体"/>
          <w:sz w:val="21"/>
          <w:szCs w:val="21"/>
        </w:rPr>
        <w:t>2、业绩证明材料要求：</w:t>
      </w:r>
      <w:r>
        <w:rPr>
          <w:rFonts w:hint="eastAsia" w:ascii="黑体" w:hAnsi="黑体" w:eastAsia="黑体" w:cs="黑体"/>
          <w:sz w:val="21"/>
          <w:szCs w:val="21"/>
          <w:u w:val="single"/>
          <w:lang w:val="en-US" w:eastAsia="zh-CN"/>
        </w:rPr>
        <w:t>详见业绩最低要求</w:t>
      </w:r>
      <w:r>
        <w:rPr>
          <w:rFonts w:hint="eastAsia" w:ascii="黑体" w:hAnsi="黑体" w:eastAsia="黑体" w:cs="黑体"/>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ascii="Times New Roman" w:hAnsi="Times New Roman" w:cs="Times New Roman"/>
          <w:bCs/>
          <w:kern w:val="0"/>
          <w:sz w:val="20"/>
          <w:szCs w:val="20"/>
        </w:rPr>
      </w:pPr>
      <w:r>
        <w:rPr>
          <w:rFonts w:hint="eastAsia" w:ascii="黑体" w:hAnsi="黑体" w:eastAsia="黑体" w:cs="黑体"/>
          <w:sz w:val="21"/>
          <w:szCs w:val="21"/>
        </w:rPr>
        <w:t>3、如近年来，供应商法人机构发生合法变更或重组或法人名称变更时，应提供相关部门的合法批件或其他相关证明材料来证明其所附业绩的继承性。</w:t>
      </w:r>
      <w:r>
        <w:rPr>
          <w:rFonts w:ascii="Times New Roman" w:hAnsi="Times New Roman" w:eastAsia="黑体" w:cs="Times New Roman"/>
          <w:bCs/>
          <w:kern w:val="0"/>
          <w:szCs w:val="21"/>
        </w:rPr>
        <w:br w:type="page"/>
      </w:r>
    </w:p>
    <w:p>
      <w:pPr>
        <w:bidi w:val="0"/>
        <w:jc w:val="center"/>
        <w:rPr>
          <w:rFonts w:hint="eastAsia" w:ascii="黑体" w:hAnsi="黑体" w:eastAsia="黑体" w:cs="黑体"/>
          <w:sz w:val="28"/>
          <w:szCs w:val="28"/>
        </w:rPr>
      </w:pPr>
      <w:bookmarkStart w:id="142" w:name="_Toc5889_WPSOffice_Level1"/>
      <w:bookmarkStart w:id="143" w:name="_Toc3893_WPSOffice_Level1"/>
      <w:bookmarkStart w:id="144" w:name="_Toc10810_WPSOffice_Level1"/>
      <w:bookmarkStart w:id="145" w:name="_Toc5403_WPSOffice_Level1"/>
      <w:bookmarkStart w:id="146" w:name="_Toc26594_WPSOffice_Level1"/>
      <w:bookmarkStart w:id="147" w:name="_Toc12019_WPSOffice_Level1"/>
      <w:r>
        <w:rPr>
          <w:rFonts w:hint="eastAsia" w:ascii="黑体" w:hAnsi="黑体" w:eastAsia="黑体" w:cs="黑体"/>
          <w:sz w:val="28"/>
          <w:szCs w:val="28"/>
          <w:lang w:val="en-US" w:eastAsia="zh-CN"/>
        </w:rPr>
        <w:t>五</w:t>
      </w:r>
      <w:r>
        <w:rPr>
          <w:rFonts w:hint="eastAsia" w:ascii="黑体" w:hAnsi="黑体" w:eastAsia="黑体" w:cs="黑体"/>
          <w:sz w:val="28"/>
          <w:szCs w:val="28"/>
        </w:rPr>
        <w:t>、信誉情况</w:t>
      </w:r>
      <w:bookmarkEnd w:id="142"/>
      <w:bookmarkEnd w:id="143"/>
      <w:bookmarkEnd w:id="144"/>
      <w:bookmarkEnd w:id="145"/>
      <w:bookmarkEnd w:id="146"/>
      <w:bookmarkEnd w:id="147"/>
    </w:p>
    <w:p>
      <w:pPr>
        <w:topLinePunct/>
        <w:spacing w:line="440" w:lineRule="exact"/>
        <w:rPr>
          <w:rFonts w:ascii="Times New Roman" w:hAnsi="Times New Roman" w:cs="Times New Roman"/>
          <w:bCs/>
          <w:sz w:val="23"/>
          <w:szCs w:val="23"/>
        </w:rPr>
      </w:pPr>
    </w:p>
    <w:p>
      <w:pPr>
        <w:topLinePunct/>
        <w:spacing w:line="440" w:lineRule="exact"/>
        <w:rPr>
          <w:rFonts w:ascii="Times New Roman" w:hAnsi="Times New Roman" w:cs="Times New Roman"/>
          <w:bCs/>
          <w:sz w:val="23"/>
          <w:szCs w:val="23"/>
        </w:rPr>
      </w:pPr>
    </w:p>
    <w:tbl>
      <w:tblPr>
        <w:tblStyle w:val="20"/>
        <w:tblW w:w="0" w:type="auto"/>
        <w:jc w:val="center"/>
        <w:tblLayout w:type="fixed"/>
        <w:tblCellMar>
          <w:top w:w="0" w:type="dxa"/>
          <w:left w:w="108" w:type="dxa"/>
          <w:bottom w:w="0" w:type="dxa"/>
          <w:right w:w="108" w:type="dxa"/>
        </w:tblCellMar>
      </w:tblPr>
      <w:tblGrid>
        <w:gridCol w:w="5104"/>
        <w:gridCol w:w="3968"/>
      </w:tblGrid>
      <w:tr>
        <w:tblPrEx>
          <w:tblCellMar>
            <w:top w:w="0" w:type="dxa"/>
            <w:left w:w="108" w:type="dxa"/>
            <w:bottom w:w="0" w:type="dxa"/>
            <w:right w:w="108" w:type="dxa"/>
          </w:tblCellMar>
        </w:tblPrEx>
        <w:trPr>
          <w:trHeight w:val="622" w:hRule="atLeast"/>
          <w:jc w:val="center"/>
        </w:trPr>
        <w:tc>
          <w:tcPr>
            <w:tcW w:w="5104"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2"/>
                <w:szCs w:val="22"/>
                <w:highlight w:val="none"/>
              </w:rPr>
            </w:pPr>
            <w:r>
              <w:rPr>
                <w:rFonts w:hint="eastAsia"/>
                <w:sz w:val="22"/>
                <w:szCs w:val="22"/>
                <w:highlight w:val="none"/>
              </w:rPr>
              <w:t>项  目</w:t>
            </w:r>
          </w:p>
        </w:tc>
        <w:tc>
          <w:tcPr>
            <w:tcW w:w="3968"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sz w:val="22"/>
                <w:szCs w:val="22"/>
                <w:highlight w:val="none"/>
              </w:rPr>
            </w:pPr>
            <w:r>
              <w:rPr>
                <w:rFonts w:hint="eastAsia"/>
                <w:sz w:val="22"/>
                <w:szCs w:val="22"/>
                <w:highlight w:val="none"/>
              </w:rPr>
              <w:t>投标人情况说明</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left"/>
              <w:rPr>
                <w:rFonts w:eastAsia="黑体"/>
                <w:sz w:val="22"/>
                <w:szCs w:val="22"/>
                <w:highlight w:val="none"/>
              </w:rPr>
            </w:pPr>
            <w:r>
              <w:rPr>
                <w:rFonts w:hint="eastAsia"/>
                <w:sz w:val="22"/>
                <w:szCs w:val="22"/>
                <w:highlight w:val="none"/>
              </w:rPr>
              <w:t>（1</w:t>
            </w:r>
            <w:r>
              <w:rPr>
                <w:rFonts w:hint="eastAsia" w:hAnsi="宋体"/>
                <w:sz w:val="22"/>
                <w:szCs w:val="22"/>
                <w:highlight w:val="none"/>
              </w:rPr>
              <w:t>）</w:t>
            </w:r>
            <w:r>
              <w:rPr>
                <w:rFonts w:hint="eastAsia"/>
                <w:sz w:val="22"/>
                <w:highlight w:val="none"/>
              </w:rPr>
              <w:t>投标人或其法定代表人在近三年内有行贿犯罪行为</w:t>
            </w:r>
            <w:r>
              <w:rPr>
                <w:rFonts w:hint="eastAsia" w:hAnsi="宋体"/>
                <w:sz w:val="22"/>
                <w:szCs w:val="21"/>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spacing w:line="400" w:lineRule="exact"/>
              <w:rPr>
                <w:rFonts w:eastAsia="黑体"/>
                <w:sz w:val="22"/>
                <w:szCs w:val="22"/>
                <w:highlight w:val="none"/>
              </w:rPr>
            </w:pPr>
            <w:r>
              <w:rPr>
                <w:rFonts w:hint="eastAsia" w:hAnsi="宋体"/>
                <w:sz w:val="22"/>
                <w:szCs w:val="22"/>
                <w:highlight w:val="none"/>
              </w:rPr>
              <w:t>（</w:t>
            </w:r>
            <w:r>
              <w:rPr>
                <w:rFonts w:hint="eastAsia"/>
                <w:sz w:val="22"/>
                <w:szCs w:val="22"/>
                <w:highlight w:val="none"/>
              </w:rPr>
              <w:t>2</w:t>
            </w:r>
            <w:r>
              <w:rPr>
                <w:rFonts w:hint="eastAsia" w:hAnsi="宋体"/>
                <w:sz w:val="22"/>
                <w:szCs w:val="22"/>
                <w:highlight w:val="none"/>
              </w:rPr>
              <w:t>）</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4"/>
                <w:color w:val="auto"/>
                <w:sz w:val="22"/>
                <w:szCs w:val="22"/>
                <w:highlight w:val="none"/>
              </w:rPr>
              <w:t>在</w:t>
            </w:r>
            <w:r>
              <w:rPr>
                <w:rStyle w:val="24"/>
                <w:rFonts w:hint="eastAsia"/>
                <w:color w:val="auto"/>
                <w:sz w:val="22"/>
                <w:szCs w:val="22"/>
                <w:highlight w:val="none"/>
              </w:rPr>
              <w:t>“</w:t>
            </w:r>
            <w:r>
              <w:rPr>
                <w:rStyle w:val="24"/>
                <w:color w:val="auto"/>
                <w:sz w:val="22"/>
                <w:szCs w:val="22"/>
                <w:highlight w:val="none"/>
              </w:rPr>
              <w:t>信用中国</w:t>
            </w:r>
            <w:r>
              <w:rPr>
                <w:rStyle w:val="24"/>
                <w:rFonts w:hint="eastAsia"/>
                <w:color w:val="auto"/>
                <w:sz w:val="22"/>
                <w:szCs w:val="22"/>
                <w:highlight w:val="none"/>
              </w:rPr>
              <w:t>”</w:t>
            </w:r>
            <w:r>
              <w:rPr>
                <w:rStyle w:val="24"/>
                <w:color w:val="auto"/>
                <w:sz w:val="22"/>
                <w:szCs w:val="22"/>
                <w:highlight w:val="none"/>
              </w:rPr>
              <w:t>网站（http://w</w:t>
            </w:r>
            <w:r>
              <w:rPr>
                <w:sz w:val="22"/>
                <w:szCs w:val="22"/>
                <w:highlight w:val="none"/>
              </w:rPr>
              <w:fldChar w:fldCharType="end"/>
            </w:r>
            <w:r>
              <w:rPr>
                <w:sz w:val="22"/>
                <w:szCs w:val="22"/>
                <w:highlight w:val="none"/>
              </w:rPr>
              <w:t>w</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4"/>
                <w:color w:val="auto"/>
                <w:sz w:val="22"/>
                <w:szCs w:val="22"/>
                <w:highlight w:val="none"/>
              </w:rPr>
              <w:t>w.creditchina.gov.c</w:t>
            </w:r>
            <w:r>
              <w:rPr>
                <w:sz w:val="22"/>
                <w:szCs w:val="22"/>
                <w:highlight w:val="none"/>
              </w:rPr>
              <w:fldChar w:fldCharType="end"/>
            </w:r>
            <w:r>
              <w:rPr>
                <w:sz w:val="22"/>
                <w:szCs w:val="22"/>
                <w:highlight w:val="none"/>
              </w:rPr>
              <w:t>n</w:t>
            </w:r>
            <w:r>
              <w:rPr>
                <w:rFonts w:hAnsi="宋体"/>
                <w:sz w:val="22"/>
                <w:szCs w:val="22"/>
                <w:highlight w:val="none"/>
              </w:rPr>
              <w:t>）中</w:t>
            </w:r>
            <w:r>
              <w:rPr>
                <w:rFonts w:hint="eastAsia"/>
                <w:sz w:val="22"/>
                <w:szCs w:val="22"/>
                <w:highlight w:val="none"/>
              </w:rPr>
              <w:t>被列入失信被执行人名单。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2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（3</w:t>
            </w:r>
            <w:r>
              <w:rPr>
                <w:rFonts w:hint="eastAsia" w:hAnsi="宋体"/>
                <w:sz w:val="22"/>
                <w:szCs w:val="22"/>
                <w:highlight w:val="none"/>
              </w:rPr>
              <w:t>）</w:t>
            </w:r>
            <w:r>
              <w:rPr>
                <w:rFonts w:hint="eastAsia"/>
                <w:sz w:val="22"/>
                <w:szCs w:val="22"/>
                <w:highlight w:val="none"/>
              </w:rPr>
              <w:t>最近三年内发生重大产品质量问题。</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75"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（4</w:t>
            </w:r>
            <w:r>
              <w:rPr>
                <w:rFonts w:hint="eastAsia" w:hAnsi="宋体"/>
                <w:sz w:val="22"/>
                <w:szCs w:val="22"/>
                <w:highlight w:val="none"/>
              </w:rPr>
              <w:t>）被责令停业</w:t>
            </w:r>
            <w:r>
              <w:rPr>
                <w:rFonts w:hint="eastAsia"/>
                <w:sz w:val="22"/>
                <w:szCs w:val="22"/>
                <w:highlight w:val="none"/>
              </w:rPr>
              <w:t>，暂扣或吊销执照，或吊销资质证书。</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82"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（5</w:t>
            </w:r>
            <w:r>
              <w:rPr>
                <w:rFonts w:hint="eastAsia" w:hAnsi="宋体"/>
                <w:sz w:val="22"/>
                <w:szCs w:val="22"/>
                <w:highlight w:val="none"/>
              </w:rPr>
              <w:t>）</w:t>
            </w:r>
            <w:r>
              <w:rPr>
                <w:rFonts w:hint="eastAsia"/>
                <w:sz w:val="22"/>
                <w:szCs w:val="22"/>
                <w:highlight w:val="none"/>
              </w:rPr>
              <w:t>进入清算程序，或被宣告破产，或其他丧失履约能力的情形</w:t>
            </w:r>
            <w:r>
              <w:rPr>
                <w:rFonts w:hint="eastAsia" w:hAnsi="宋体"/>
                <w:sz w:val="22"/>
                <w:szCs w:val="22"/>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587"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sz w:val="22"/>
                <w:szCs w:val="22"/>
                <w:highlight w:val="none"/>
              </w:rPr>
            </w:pPr>
            <w:r>
              <w:rPr>
                <w:rFonts w:hint="eastAsia"/>
                <w:sz w:val="22"/>
                <w:szCs w:val="22"/>
                <w:highlight w:val="none"/>
              </w:rPr>
              <w:t>（6）</w:t>
            </w:r>
            <w:r>
              <w:rPr>
                <w:sz w:val="22"/>
                <w:szCs w:val="21"/>
                <w:highlight w:val="none"/>
              </w:rPr>
              <w:t>投标人正受到在本招标项目所在地市级行政区域内取消投标资格的行政处罚。</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jc w:val="left"/>
              <w:rPr>
                <w:rFonts w:hAnsi="宋体"/>
                <w:sz w:val="22"/>
                <w:szCs w:val="22"/>
                <w:highlight w:val="none"/>
              </w:rPr>
            </w:pPr>
            <w:r>
              <w:rPr>
                <w:rFonts w:hint="eastAsia" w:hAnsi="宋体"/>
                <w:sz w:val="22"/>
                <w:szCs w:val="22"/>
                <w:highlight w:val="none"/>
              </w:rPr>
              <w:t>（7）在</w:t>
            </w:r>
            <w:r>
              <w:rPr>
                <w:rFonts w:hint="eastAsia"/>
                <w:sz w:val="22"/>
                <w:szCs w:val="22"/>
                <w:highlight w:val="none"/>
              </w:rPr>
              <w:t>国家企业信用信息公示系统（http://www.gsxt.gov.cn）中被列入严重违法失信企业名单。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hAnsi="宋体"/>
                <w:sz w:val="22"/>
                <w:szCs w:val="22"/>
                <w:highlight w:val="none"/>
              </w:rPr>
            </w:pPr>
            <w:r>
              <w:rPr>
                <w:rFonts w:hint="eastAsia" w:hAnsi="宋体"/>
                <w:sz w:val="22"/>
                <w:szCs w:val="22"/>
                <w:highlight w:val="none"/>
              </w:rPr>
              <w:t>（8）法律法规规定的其他情形。</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p>
        </w:tc>
      </w:tr>
    </w:tbl>
    <w:p>
      <w:pPr>
        <w:autoSpaceDE w:val="0"/>
        <w:snapToGrid w:val="0"/>
        <w:ind w:right="109" w:rightChars="52"/>
        <w:rPr>
          <w:rFonts w:hint="eastAsia" w:ascii="宋体" w:hAnsi="宋体"/>
          <w:szCs w:val="21"/>
          <w:highlight w:val="none"/>
        </w:rPr>
      </w:pPr>
      <w:r>
        <w:rPr>
          <w:rFonts w:ascii="宋体" w:hAnsi="宋体"/>
          <w:szCs w:val="21"/>
          <w:highlight w:val="none"/>
        </w:rPr>
        <w:t>注：1.本表后应附：</w:t>
      </w:r>
    </w:p>
    <w:p>
      <w:pPr>
        <w:autoSpaceDE w:val="0"/>
        <w:snapToGrid w:val="0"/>
        <w:ind w:right="109" w:rightChars="52" w:firstLine="420" w:firstLineChars="200"/>
        <w:rPr>
          <w:rFonts w:ascii="宋体" w:hAnsi="宋体"/>
          <w:szCs w:val="21"/>
          <w:highlight w:val="none"/>
        </w:rPr>
      </w:pPr>
      <w:r>
        <w:rPr>
          <w:rFonts w:ascii="宋体" w:hAnsi="宋体"/>
          <w:szCs w:val="21"/>
          <w:highlight w:val="none"/>
        </w:rPr>
        <w:t>（1）投标人在全国企业信用信息公示系统中未被列入严重违法失信企业名单的网页截图；</w:t>
      </w:r>
    </w:p>
    <w:p>
      <w:pPr>
        <w:autoSpaceDE w:val="0"/>
        <w:snapToGrid w:val="0"/>
        <w:ind w:right="109" w:rightChars="52" w:firstLine="420" w:firstLineChars="200"/>
        <w:rPr>
          <w:rFonts w:ascii="宋体" w:hAnsi="宋体"/>
          <w:szCs w:val="21"/>
          <w:highlight w:val="none"/>
        </w:rPr>
      </w:pPr>
      <w:r>
        <w:rPr>
          <w:rFonts w:ascii="宋体" w:hAnsi="宋体"/>
          <w:szCs w:val="21"/>
          <w:highlight w:val="none"/>
        </w:rPr>
        <w:t>（2）投标人在</w:t>
      </w:r>
      <w:r>
        <w:rPr>
          <w:rFonts w:ascii="宋体" w:hAnsi="宋体"/>
          <w:szCs w:val="21"/>
          <w:highlight w:val="none"/>
        </w:rPr>
        <w:fldChar w:fldCharType="begin"/>
      </w:r>
      <w:r>
        <w:rPr>
          <w:rFonts w:ascii="宋体" w:hAnsi="宋体"/>
          <w:szCs w:val="21"/>
          <w:highlight w:val="none"/>
        </w:rPr>
        <w:instrText xml:space="preserve"> HYPERLINK "http://www.creditchina.gov.cn/" </w:instrText>
      </w:r>
      <w:r>
        <w:rPr>
          <w:rFonts w:ascii="宋体" w:hAnsi="宋体"/>
          <w:szCs w:val="21"/>
          <w:highlight w:val="none"/>
        </w:rPr>
        <w:fldChar w:fldCharType="separate"/>
      </w:r>
      <w:r>
        <w:rPr>
          <w:rStyle w:val="24"/>
          <w:rFonts w:hint="eastAsia" w:ascii="宋体" w:hAnsi="宋体"/>
          <w:color w:val="auto"/>
          <w:szCs w:val="21"/>
          <w:highlight w:val="none"/>
          <w:u w:val="none"/>
        </w:rPr>
        <w:t>“</w:t>
      </w:r>
      <w:r>
        <w:rPr>
          <w:rStyle w:val="24"/>
          <w:rFonts w:ascii="宋体" w:hAnsi="宋体"/>
          <w:color w:val="auto"/>
          <w:szCs w:val="21"/>
          <w:highlight w:val="none"/>
          <w:u w:val="none"/>
        </w:rPr>
        <w:t>信用中国</w:t>
      </w:r>
      <w:r>
        <w:rPr>
          <w:rStyle w:val="24"/>
          <w:rFonts w:hint="eastAsia" w:ascii="宋体" w:hAnsi="宋体"/>
          <w:color w:val="auto"/>
          <w:szCs w:val="21"/>
          <w:highlight w:val="none"/>
          <w:u w:val="none"/>
        </w:rPr>
        <w:t>”</w:t>
      </w:r>
      <w:r>
        <w:rPr>
          <w:rStyle w:val="24"/>
          <w:rFonts w:ascii="宋体" w:hAnsi="宋体"/>
          <w:color w:val="auto"/>
          <w:szCs w:val="21"/>
          <w:highlight w:val="none"/>
          <w:u w:val="none"/>
        </w:rPr>
        <w:t>网站中未被列入失信被执行人名单的网页截图</w:t>
      </w:r>
      <w:r>
        <w:rPr>
          <w:rFonts w:ascii="宋体" w:hAnsi="宋体"/>
          <w:szCs w:val="21"/>
          <w:highlight w:val="none"/>
        </w:rPr>
        <w:fldChar w:fldCharType="end"/>
      </w:r>
      <w:r>
        <w:rPr>
          <w:rFonts w:ascii="宋体" w:hAnsi="宋体"/>
          <w:szCs w:val="21"/>
          <w:highlight w:val="none"/>
        </w:rPr>
        <w:t>；</w:t>
      </w:r>
    </w:p>
    <w:p>
      <w:pPr>
        <w:autoSpaceDE w:val="0"/>
        <w:snapToGrid w:val="0"/>
        <w:ind w:left="15" w:leftChars="7" w:right="109" w:rightChars="52" w:firstLine="403" w:firstLineChars="192"/>
        <w:jc w:val="left"/>
        <w:rPr>
          <w:rFonts w:hint="eastAsia" w:ascii="宋体" w:hAnsi="宋体" w:cs="宋体"/>
          <w:sz w:val="22"/>
          <w:szCs w:val="18"/>
          <w:highlight w:val="none"/>
        </w:rPr>
      </w:pPr>
      <w:r>
        <w:rPr>
          <w:rFonts w:ascii="宋体" w:hAnsi="宋体"/>
          <w:szCs w:val="21"/>
          <w:highlight w:val="none"/>
        </w:rPr>
        <w:t>2.投标人应如实填报，若经查实投标人存在瞒报行为，将取消其投标或中标资格。</w:t>
      </w:r>
    </w:p>
    <w:p>
      <w:pPr>
        <w:pStyle w:val="2"/>
        <w:jc w:val="righ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numPr>
          <w:ilvl w:val="0"/>
          <w:numId w:val="0"/>
        </w:numPr>
        <w:bidi w:val="0"/>
        <w:jc w:val="center"/>
        <w:rPr>
          <w:rFonts w:hint="eastAsia" w:ascii="Times New Roman"/>
          <w:color w:val="auto"/>
          <w:szCs w:val="24"/>
          <w:lang w:eastAsia="zh-CN"/>
        </w:rPr>
      </w:pPr>
      <w:bookmarkStart w:id="148" w:name="_Toc22303_WPSOffice_Level1"/>
      <w:bookmarkStart w:id="149" w:name="_Toc31963_WPSOffice_Level1"/>
      <w:bookmarkStart w:id="150" w:name="_Toc13165_WPSOffice_Level1"/>
      <w:bookmarkStart w:id="151" w:name="_Toc19034_WPSOffice_Level1"/>
      <w:bookmarkStart w:id="152" w:name="_Toc5957_WPSOffice_Level1"/>
      <w:bookmarkStart w:id="153" w:name="_Toc2428_WPSOffice_Level1"/>
      <w:r>
        <w:rPr>
          <w:rFonts w:hint="eastAsia" w:ascii="黑体" w:hAnsi="黑体" w:eastAsia="黑体" w:cs="黑体"/>
          <w:sz w:val="28"/>
          <w:szCs w:val="28"/>
          <w:lang w:val="en-US" w:eastAsia="zh-CN"/>
        </w:rPr>
        <w:t>六、供货方案</w:t>
      </w:r>
    </w:p>
    <w:p>
      <w:pPr>
        <w:numPr>
          <w:ilvl w:val="0"/>
          <w:numId w:val="0"/>
        </w:numPr>
        <w:bidi w:val="0"/>
        <w:jc w:val="both"/>
        <w:rPr>
          <w:rFonts w:hint="eastAsia" w:ascii="Times New Roman"/>
          <w:color w:val="auto"/>
          <w:sz w:val="24"/>
          <w:szCs w:val="24"/>
          <w:lang w:eastAsia="zh-CN"/>
        </w:rPr>
      </w:pPr>
      <w:r>
        <w:rPr>
          <w:rFonts w:hint="eastAsia" w:ascii="Times New Roman"/>
          <w:color w:val="auto"/>
          <w:sz w:val="24"/>
          <w:szCs w:val="24"/>
          <w:lang w:val="en-US" w:eastAsia="zh-CN"/>
        </w:rPr>
        <w:t>供应商应按项目特点编制供货方案</w:t>
      </w:r>
      <w:r>
        <w:rPr>
          <w:rFonts w:hint="eastAsia" w:ascii="Times New Roman"/>
          <w:color w:val="auto"/>
          <w:sz w:val="24"/>
          <w:szCs w:val="24"/>
          <w:lang w:eastAsia="zh-CN"/>
        </w:rPr>
        <w:t>，</w:t>
      </w:r>
      <w:r>
        <w:rPr>
          <w:rFonts w:hint="eastAsia" w:ascii="Times New Roman"/>
          <w:color w:val="auto"/>
          <w:sz w:val="24"/>
          <w:szCs w:val="24"/>
          <w:lang w:val="en-US" w:eastAsia="zh-CN"/>
        </w:rPr>
        <w:t>文字宜精炼，内容具有可行性、针对性</w:t>
      </w:r>
      <w:r>
        <w:rPr>
          <w:rFonts w:hint="eastAsia" w:ascii="Times New Roman"/>
          <w:color w:val="auto"/>
          <w:sz w:val="24"/>
          <w:szCs w:val="24"/>
          <w:lang w:eastAsia="zh-CN"/>
        </w:rPr>
        <w:t>。</w:t>
      </w:r>
    </w:p>
    <w:p>
      <w:pPr>
        <w:pStyle w:val="19"/>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9"/>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9"/>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9"/>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9"/>
        <w:rPr>
          <w:rFonts w:hint="eastAsia" w:ascii="Times New Roman" w:hAnsi="Times New Roman" w:eastAsia="黑体" w:cs="Times New Roman"/>
          <w:sz w:val="28"/>
          <w:szCs w:val="28"/>
        </w:rPr>
      </w:pPr>
    </w:p>
    <w:p>
      <w:pPr>
        <w:rPr>
          <w:rFonts w:hint="eastAsia"/>
        </w:rPr>
      </w:pPr>
    </w:p>
    <w:p>
      <w:pPr>
        <w:pStyle w:val="19"/>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19"/>
        <w:rPr>
          <w:rFonts w:hint="eastAsia"/>
        </w:rPr>
      </w:pPr>
    </w:p>
    <w:p>
      <w:pPr>
        <w:rPr>
          <w:rFonts w:hint="eastAsia"/>
        </w:rPr>
      </w:pPr>
    </w:p>
    <w:p>
      <w:pPr>
        <w:pStyle w:val="19"/>
        <w:rPr>
          <w:rFonts w:hint="eastAsia"/>
        </w:rPr>
      </w:pPr>
    </w:p>
    <w:p>
      <w:pPr>
        <w:rPr>
          <w:rFonts w:hint="eastAsia"/>
        </w:rPr>
      </w:pPr>
    </w:p>
    <w:p>
      <w:pPr>
        <w:pStyle w:val="19"/>
        <w:rPr>
          <w:rFonts w:hint="eastAsia"/>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、其</w:t>
      </w:r>
      <w:bookmarkEnd w:id="148"/>
      <w:r>
        <w:rPr>
          <w:rFonts w:hint="eastAsia" w:ascii="Times New Roman" w:hAnsi="Times New Roman" w:eastAsia="黑体" w:cs="Times New Roman"/>
          <w:sz w:val="28"/>
          <w:szCs w:val="28"/>
          <w:lang w:val="en-US" w:eastAsia="zh-CN"/>
        </w:rPr>
        <w:t>他</w:t>
      </w:r>
      <w:r>
        <w:rPr>
          <w:rFonts w:ascii="Times New Roman" w:hAnsi="Times New Roman" w:eastAsia="黑体" w:cs="Times New Roman"/>
          <w:sz w:val="28"/>
          <w:szCs w:val="28"/>
        </w:rPr>
        <w:t>材料</w:t>
      </w:r>
      <w:bookmarkEnd w:id="149"/>
      <w:bookmarkEnd w:id="150"/>
      <w:bookmarkEnd w:id="151"/>
      <w:bookmarkEnd w:id="152"/>
      <w:bookmarkEnd w:id="153"/>
    </w:p>
    <w:p>
      <w:pPr>
        <w:pStyle w:val="3"/>
        <w:rPr>
          <w:rFonts w:hint="default" w:ascii="Times New Roman" w:hAnsi="Times New Roman"/>
          <w:color w:val="auto"/>
          <w:szCs w:val="28"/>
        </w:rPr>
      </w:pPr>
    </w:p>
    <w:p>
      <w:pPr>
        <w:pStyle w:val="3"/>
        <w:numPr>
          <w:ilvl w:val="0"/>
          <w:numId w:val="5"/>
        </w:numPr>
        <w:ind w:firstLine="420" w:firstLineChars="175"/>
        <w:rPr>
          <w:rFonts w:hint="eastAsia" w:ascii="宋体" w:hAnsi="宋体" w:eastAsia="宋体" w:cs="宋体"/>
          <w:color w:val="auto"/>
          <w:szCs w:val="28"/>
        </w:rPr>
      </w:pPr>
      <w:r>
        <w:rPr>
          <w:rFonts w:hint="eastAsia" w:ascii="宋体" w:hAnsi="宋体" w:eastAsia="宋体" w:cs="宋体"/>
          <w:color w:val="auto"/>
          <w:szCs w:val="28"/>
        </w:rPr>
        <w:t>响应保证金的银行凭证（电汇回单）复印件等。</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19"/>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（报价文件）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rPr>
          <w:rFonts w:ascii="Times New Roman" w:hAnsi="Times New Roman" w:eastAsia="黑体" w:cs="Times New Roman"/>
          <w:sz w:val="20"/>
          <w:szCs w:val="20"/>
        </w:rPr>
      </w:pP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一、报价函</w:t>
      </w: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二、已标价</w:t>
      </w:r>
      <w:r>
        <w:rPr>
          <w:rFonts w:hint="eastAsia" w:ascii="Times New Roman" w:hAnsi="Times New Roman" w:eastAsia="黑体" w:cs="Times New Roman"/>
          <w:sz w:val="24"/>
          <w:szCs w:val="24"/>
        </w:rPr>
        <w:t>的工程量</w:t>
      </w:r>
      <w:r>
        <w:rPr>
          <w:rFonts w:ascii="Times New Roman" w:hAnsi="Times New Roman" w:eastAsia="黑体" w:cs="Times New Roman"/>
          <w:sz w:val="24"/>
          <w:szCs w:val="24"/>
        </w:rPr>
        <w:t>清单</w:t>
      </w:r>
    </w:p>
    <w:p>
      <w:pPr>
        <w:numPr>
          <w:ilvl w:val="0"/>
          <w:numId w:val="0"/>
        </w:numPr>
        <w:spacing w:line="440" w:lineRule="exact"/>
        <w:ind w:firstLine="1200" w:firstLineChars="500"/>
        <w:jc w:val="both"/>
        <w:rPr>
          <w:rFonts w:hint="eastAsia"/>
          <w:sz w:val="24"/>
          <w:szCs w:val="24"/>
          <w:lang w:val="en-US" w:eastAsia="zh-CN"/>
        </w:rPr>
      </w:pPr>
      <w:r>
        <w:rPr>
          <w:rFonts w:hint="eastAsia" w:ascii="Times New Roman" w:hAnsi="Times New Roman" w:eastAsia="黑体" w:cs="Times New Roman"/>
          <w:sz w:val="24"/>
          <w:szCs w:val="24"/>
        </w:rPr>
        <w:t>三</w:t>
      </w: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响应报价需要说明的其他资料</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9"/>
      </w:pPr>
    </w:p>
    <w:p/>
    <w:p>
      <w:pPr>
        <w:numPr>
          <w:ilvl w:val="0"/>
          <w:numId w:val="0"/>
        </w:numPr>
        <w:spacing w:line="440" w:lineRule="exact"/>
        <w:jc w:val="cente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报价函</w:t>
      </w:r>
    </w:p>
    <w:p>
      <w:pPr>
        <w:pStyle w:val="19"/>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(项目名称)询比文件的全部内容(含补遗书第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号至第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lang w:val="en-US" w:eastAsia="zh-CN"/>
        </w:rPr>
        <w:t>提供招标文件要求的货物、技术服务和质保售后服务，并按合同约定履行义务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eastAsiaTheme="minorEastAsia"/>
          <w:sz w:val="24"/>
          <w:lang w:val="en-US" w:eastAsia="zh-CN"/>
        </w:rPr>
      </w:pPr>
      <w:r>
        <w:rPr>
          <w:rFonts w:ascii="Times New Roman" w:hAnsi="Times New Roman" w:cs="Times New Roman"/>
          <w:sz w:val="24"/>
        </w:rPr>
        <w:t>2．我方承诺在响应有效期内不修改、撤销响应文件。</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rPr>
        <w:t>我方已按招标文件要求详细审核并确认全部招标文件及有关附件，充分理解投标价格不得低于企业个别成本有关规定。我方经成本核算，所填报的投标报价不低于企业个别成本。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r>
        <w:rPr>
          <w:rFonts w:hint="eastAsia" w:ascii="Times New Roman" w:hAnsi="Times New Roman" w:cs="Times New Roman"/>
          <w:sz w:val="24"/>
        </w:rPr>
        <w:t>．除非另外达成协议并生效，你方的中标通知书和本投标文件以及招标文件、招标文件澄清、修改、补充文件将成为约束双方的合同文件的组成部分。</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6.其他补充说明：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宋体" w:hAnsi="宋体" w:eastAsia="宋体" w:cs="宋体"/>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numPr>
          <w:ilvl w:val="0"/>
          <w:numId w:val="0"/>
        </w:numPr>
        <w:spacing w:line="440" w:lineRule="exact"/>
        <w:jc w:val="center"/>
        <w:rPr>
          <w:rFonts w:hint="eastAsia" w:ascii="Times New Roman" w:hAnsi="Times New Roman" w:eastAsia="黑体" w:cs="Times New Roman"/>
          <w:sz w:val="28"/>
          <w:szCs w:val="28"/>
          <w:lang w:val="en-US" w:eastAsia="zh-CN"/>
        </w:rPr>
      </w:pPr>
      <w:bookmarkStart w:id="154" w:name="_Toc162490440"/>
      <w:bookmarkStart w:id="155" w:name="_Toc272486050"/>
      <w:bookmarkStart w:id="156" w:name="_Toc153421230"/>
      <w:r>
        <w:rPr>
          <w:rFonts w:hint="eastAsia" w:ascii="Times New Roman" w:hAnsi="Times New Roman" w:eastAsia="黑体" w:cs="Times New Roman"/>
          <w:sz w:val="28"/>
          <w:szCs w:val="28"/>
          <w:lang w:val="en-US" w:eastAsia="zh-CN"/>
        </w:rPr>
        <w:t>二、</w:t>
      </w:r>
      <w:bookmarkEnd w:id="154"/>
      <w:bookmarkEnd w:id="155"/>
      <w:bookmarkEnd w:id="156"/>
      <w:r>
        <w:rPr>
          <w:rFonts w:hint="eastAsia" w:ascii="Times New Roman" w:hAnsi="Times New Roman" w:eastAsia="黑体" w:cs="Times New Roman"/>
          <w:sz w:val="28"/>
          <w:szCs w:val="28"/>
          <w:lang w:val="en-US" w:eastAsia="zh-CN"/>
        </w:rPr>
        <w:t>已标价的工程量清单</w:t>
      </w:r>
    </w:p>
    <w:p>
      <w:pPr>
        <w:spacing w:line="440" w:lineRule="exact"/>
        <w:rPr>
          <w:rFonts w:ascii="Times New Roman" w:hAnsi="Times New Roman" w:eastAsia="黑体" w:cs="Times New Roman"/>
          <w:color w:val="auto"/>
          <w:sz w:val="24"/>
          <w:highlight w:val="none"/>
        </w:rPr>
      </w:pPr>
    </w:p>
    <w:p>
      <w:pPr>
        <w:spacing w:line="360" w:lineRule="auto"/>
        <w:ind w:firstLine="281" w:firstLineChars="100"/>
        <w:jc w:val="center"/>
        <w:rPr>
          <w:rFonts w:hint="eastAsia" w:ascii="宋体" w:hAnsi="宋体" w:cs="宋体"/>
          <w:b/>
          <w:bCs/>
          <w:sz w:val="28"/>
          <w:szCs w:val="28"/>
          <w:highlight w:val="none"/>
        </w:rPr>
      </w:pPr>
      <w:r>
        <w:rPr>
          <w:rFonts w:hint="eastAsia" w:ascii="宋体" w:hAnsi="宋体" w:cs="宋体"/>
          <w:b/>
          <w:bCs/>
          <w:sz w:val="28"/>
          <w:szCs w:val="28"/>
          <w:highlight w:val="none"/>
        </w:rPr>
        <w:t>A．说明</w:t>
      </w:r>
    </w:p>
    <w:p>
      <w:pPr>
        <w:spacing w:line="360" w:lineRule="auto"/>
        <w:ind w:firstLine="437"/>
        <w:rPr>
          <w:sz w:val="22"/>
          <w:szCs w:val="21"/>
          <w:highlight w:val="none"/>
        </w:rPr>
      </w:pPr>
      <w:r>
        <w:rPr>
          <w:sz w:val="22"/>
          <w:szCs w:val="21"/>
          <w:highlight w:val="none"/>
        </w:rPr>
        <w:t>1．本</w:t>
      </w:r>
      <w:r>
        <w:rPr>
          <w:rFonts w:hint="eastAsia"/>
          <w:sz w:val="22"/>
          <w:szCs w:val="21"/>
          <w:highlight w:val="none"/>
        </w:rPr>
        <w:t>报价</w:t>
      </w:r>
      <w:r>
        <w:rPr>
          <w:sz w:val="22"/>
          <w:szCs w:val="21"/>
          <w:highlight w:val="none"/>
        </w:rPr>
        <w:t>清单应与投标人须知、专用合同条款、技术规格等文件结合起来查阅与理解。</w:t>
      </w:r>
    </w:p>
    <w:p>
      <w:pPr>
        <w:spacing w:line="360" w:lineRule="auto"/>
        <w:ind w:firstLine="437"/>
        <w:rPr>
          <w:sz w:val="22"/>
          <w:szCs w:val="21"/>
          <w:highlight w:val="none"/>
        </w:rPr>
      </w:pPr>
      <w:r>
        <w:rPr>
          <w:sz w:val="22"/>
          <w:szCs w:val="21"/>
          <w:highlight w:val="none"/>
        </w:rPr>
        <w:t>2．除非合同另有规定，清单中综合单价和总价应包括了为实施和完成合同所需的设计费、制造费、材料费、利润、税费</w:t>
      </w:r>
      <w:r>
        <w:rPr>
          <w:rFonts w:hint="eastAsia"/>
          <w:sz w:val="22"/>
          <w:szCs w:val="21"/>
          <w:highlight w:val="none"/>
        </w:rPr>
        <w:t>（含增值税）</w:t>
      </w:r>
      <w:r>
        <w:rPr>
          <w:sz w:val="22"/>
          <w:szCs w:val="21"/>
          <w:highlight w:val="none"/>
        </w:rPr>
        <w:t>、运输费、验收、取证、培训、技术服务、损耗费、检测费、商业保险费、验收费、安装调试费等达到使用条件及质保期维护维修的一切费用，以及合同约定的所有责任、义务和一般风险。</w:t>
      </w:r>
    </w:p>
    <w:p>
      <w:pPr>
        <w:spacing w:line="360" w:lineRule="auto"/>
        <w:ind w:firstLine="437"/>
        <w:rPr>
          <w:sz w:val="22"/>
          <w:szCs w:val="21"/>
          <w:highlight w:val="none"/>
        </w:rPr>
      </w:pPr>
      <w:r>
        <w:rPr>
          <w:sz w:val="22"/>
          <w:szCs w:val="21"/>
          <w:highlight w:val="none"/>
        </w:rPr>
        <w:t>3．</w:t>
      </w:r>
      <w:r>
        <w:rPr>
          <w:rFonts w:hint="eastAsia"/>
          <w:sz w:val="22"/>
          <w:szCs w:val="21"/>
          <w:highlight w:val="none"/>
        </w:rPr>
        <w:t>报价</w:t>
      </w:r>
      <w:r>
        <w:rPr>
          <w:sz w:val="22"/>
          <w:szCs w:val="21"/>
          <w:highlight w:val="none"/>
        </w:rPr>
        <w:t>清单中的各项费用货币单位均为人民币(元)。</w:t>
      </w:r>
    </w:p>
    <w:p>
      <w:pPr>
        <w:spacing w:line="360" w:lineRule="auto"/>
        <w:ind w:firstLine="437"/>
        <w:rPr>
          <w:rFonts w:hint="eastAsia"/>
          <w:sz w:val="22"/>
          <w:szCs w:val="21"/>
          <w:highlight w:val="none"/>
        </w:rPr>
      </w:pPr>
      <w:r>
        <w:rPr>
          <w:sz w:val="22"/>
          <w:szCs w:val="21"/>
          <w:highlight w:val="none"/>
        </w:rPr>
        <w:t>4．交货期以合同签订之日起算</w:t>
      </w:r>
      <w:r>
        <w:rPr>
          <w:rFonts w:hint="eastAsia"/>
          <w:sz w:val="22"/>
          <w:szCs w:val="21"/>
          <w:highlight w:val="none"/>
        </w:rPr>
        <w:t>。</w:t>
      </w:r>
    </w:p>
    <w:p>
      <w:pPr>
        <w:pStyle w:val="18"/>
        <w:jc w:val="right"/>
        <w:rPr>
          <w:rFonts w:hint="eastAsia"/>
          <w:lang w:val="en-US" w:eastAsia="zh-CN"/>
        </w:rPr>
      </w:pPr>
    </w:p>
    <w:p>
      <w:pPr>
        <w:pStyle w:val="18"/>
        <w:rPr>
          <w:rFonts w:hint="eastAsia"/>
          <w:lang w:val="en-US" w:eastAsia="zh-CN"/>
        </w:rPr>
      </w:pPr>
    </w:p>
    <w:p>
      <w:pPr>
        <w:rPr>
          <w:rFonts w:hint="eastAsia"/>
          <w:lang w:val="en-US" w:eastAsia="zh-CN"/>
        </w:rPr>
      </w:pPr>
      <w:r>
        <w:rPr>
          <w:rFonts w:hint="eastAsia"/>
          <w:lang w:val="en-US" w:eastAsia="zh-CN"/>
        </w:rPr>
        <w:br w:type="page"/>
      </w:r>
    </w:p>
    <w:p>
      <w:pPr>
        <w:pStyle w:val="5"/>
        <w:numPr>
          <w:ilvl w:val="0"/>
          <w:numId w:val="0"/>
        </w:numPr>
        <w:ind w:left="417" w:leftChars="0"/>
        <w:jc w:val="center"/>
        <w:rPr>
          <w:rFonts w:hint="eastAsia" w:ascii="宋体" w:hAnsi="宋体" w:eastAsia="宋体" w:cs="宋体"/>
          <w:bCs/>
          <w:kern w:val="2"/>
          <w:sz w:val="28"/>
          <w:szCs w:val="28"/>
          <w:highlight w:val="none"/>
          <w:lang w:eastAsia="zh-CN"/>
        </w:rPr>
      </w:pPr>
      <w:r>
        <w:rPr>
          <w:rFonts w:hint="eastAsia" w:ascii="宋体" w:hAnsi="宋体" w:cs="宋体"/>
          <w:b w:val="0"/>
          <w:bCs/>
          <w:sz w:val="28"/>
          <w:szCs w:val="24"/>
          <w:highlight w:val="none"/>
        </w:rPr>
        <w:t xml:space="preserve">B. </w:t>
      </w:r>
      <w:r>
        <w:rPr>
          <w:rFonts w:hint="eastAsia" w:ascii="宋体" w:hAnsi="宋体" w:eastAsia="宋体" w:cs="宋体"/>
          <w:bCs/>
          <w:kern w:val="2"/>
          <w:sz w:val="28"/>
          <w:szCs w:val="28"/>
          <w:highlight w:val="none"/>
          <w:lang w:eastAsia="zh-CN"/>
        </w:rPr>
        <w:t>已标价工程量清单</w:t>
      </w:r>
    </w:p>
    <w:p>
      <w:pPr>
        <w:spacing w:line="360" w:lineRule="auto"/>
        <w:ind w:firstLine="480" w:firstLineChars="200"/>
        <w:rPr>
          <w:rFonts w:hint="eastAsia"/>
          <w:highlight w:val="none"/>
        </w:rPr>
      </w:pPr>
      <w:r>
        <w:rPr>
          <w:rFonts w:hint="eastAsia" w:ascii="宋体" w:hAnsi="宋体" w:cs="宋体"/>
          <w:bCs/>
          <w:sz w:val="24"/>
          <w:szCs w:val="24"/>
          <w:highlight w:val="none"/>
        </w:rPr>
        <w:t>投标人按照招标人提供的“工程量清单”的要求逐项填报工程量清单，包括但不限于工程量清单说明、投标报价说明及工程量清单各项表格。</w:t>
      </w: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pPr>
        <w:pStyle w:val="11"/>
        <w:adjustRightInd w:val="0"/>
        <w:snapToGrid w:val="0"/>
        <w:jc w:val="center"/>
        <w:rPr>
          <w:rFonts w:ascii="Times New Roman" w:hAnsi="Times New Roman" w:cs="Times New Roman"/>
        </w:rPr>
      </w:pPr>
    </w:p>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EFF685-86A8-43C7-B7D1-7B759B82B1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E41B16-F3AB-49A0-B5CC-CB7DF1D521D4}"/>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6497BCAF-61E3-4A96-82F9-B89D5284075D}"/>
  </w:font>
  <w:font w:name="华文楷体">
    <w:panose1 w:val="02010600040101010101"/>
    <w:charset w:val="86"/>
    <w:family w:val="auto"/>
    <w:pitch w:val="default"/>
    <w:sig w:usb0="00000287" w:usb1="080F0000" w:usb2="00000000" w:usb3="00000000" w:csb0="0004009F" w:csb1="DFD70000"/>
    <w:embedRegular r:id="rId4" w:fontKey="{4C2D2AC0-2CCE-4773-A468-A8C743486AE0}"/>
  </w:font>
  <w:font w:name="方正小标宋简体">
    <w:panose1 w:val="03000509000000000000"/>
    <w:charset w:val="86"/>
    <w:family w:val="auto"/>
    <w:pitch w:val="default"/>
    <w:sig w:usb0="00000001" w:usb1="080E0000" w:usb2="00000000" w:usb3="00000000" w:csb0="00040000" w:csb1="00000000"/>
    <w:embedRegular r:id="rId5" w:fontKey="{034009FB-DBCF-40D9-8CF3-A1C37842BE9D}"/>
  </w:font>
  <w:font w:name="楷体">
    <w:panose1 w:val="02010609060101010101"/>
    <w:charset w:val="86"/>
    <w:family w:val="auto"/>
    <w:pitch w:val="default"/>
    <w:sig w:usb0="800002BF" w:usb1="38CF7CFA" w:usb2="00000016" w:usb3="00000000" w:csb0="00040001" w:csb1="00000000"/>
    <w:embedRegular r:id="rId6" w:fontKey="{941A1041-F190-4AE5-9618-C0AE975474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4DCE865"/>
    <w:multiLevelType w:val="singleLevel"/>
    <w:tmpl w:val="A4DCE865"/>
    <w:lvl w:ilvl="0" w:tentative="0">
      <w:start w:val="1"/>
      <w:numFmt w:val="decimal"/>
      <w:suff w:val="nothing"/>
      <w:lvlText w:val="%1、"/>
      <w:lvlJc w:val="left"/>
    </w:lvl>
  </w:abstractNum>
  <w:abstractNum w:abstractNumId="2">
    <w:nsid w:val="AF0C7C81"/>
    <w:multiLevelType w:val="singleLevel"/>
    <w:tmpl w:val="AF0C7C81"/>
    <w:lvl w:ilvl="0" w:tentative="0">
      <w:start w:val="1"/>
      <w:numFmt w:val="decimal"/>
      <w:suff w:val="nothing"/>
      <w:lvlText w:val="（%1）"/>
      <w:lvlJc w:val="left"/>
    </w:lvl>
  </w:abstractNum>
  <w:abstractNum w:abstractNumId="3">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4">
    <w:nsid w:val="61C7D68E"/>
    <w:multiLevelType w:val="singleLevel"/>
    <w:tmpl w:val="61C7D68E"/>
    <w:lvl w:ilvl="0" w:tentative="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DFlYjFmMjQ0NTA5NzRlMjAxMjJjOTAwY2Y1YzkifQ=="/>
  </w:docVars>
  <w:rsids>
    <w:rsidRoot w:val="6F4D02A4"/>
    <w:rsid w:val="0022317B"/>
    <w:rsid w:val="00302DB5"/>
    <w:rsid w:val="00302F3A"/>
    <w:rsid w:val="005607D6"/>
    <w:rsid w:val="00653222"/>
    <w:rsid w:val="00691F7C"/>
    <w:rsid w:val="00724BD4"/>
    <w:rsid w:val="007C6E94"/>
    <w:rsid w:val="00E8570D"/>
    <w:rsid w:val="01CA1A32"/>
    <w:rsid w:val="022E63E5"/>
    <w:rsid w:val="029B173D"/>
    <w:rsid w:val="02D346A3"/>
    <w:rsid w:val="03284587"/>
    <w:rsid w:val="038863C7"/>
    <w:rsid w:val="03A9557F"/>
    <w:rsid w:val="049C276A"/>
    <w:rsid w:val="04A532C8"/>
    <w:rsid w:val="04E034BC"/>
    <w:rsid w:val="05A910F5"/>
    <w:rsid w:val="05F94BA8"/>
    <w:rsid w:val="06341F34"/>
    <w:rsid w:val="068727A0"/>
    <w:rsid w:val="07063EDC"/>
    <w:rsid w:val="07C15482"/>
    <w:rsid w:val="09210464"/>
    <w:rsid w:val="0932702D"/>
    <w:rsid w:val="0A2E7496"/>
    <w:rsid w:val="0A941F2B"/>
    <w:rsid w:val="0B9601DE"/>
    <w:rsid w:val="0D5737F1"/>
    <w:rsid w:val="0DBD0BDC"/>
    <w:rsid w:val="0E3E0979"/>
    <w:rsid w:val="0E95065E"/>
    <w:rsid w:val="0F6F4854"/>
    <w:rsid w:val="0F9F0794"/>
    <w:rsid w:val="0FBE1FCA"/>
    <w:rsid w:val="103E486A"/>
    <w:rsid w:val="1090350E"/>
    <w:rsid w:val="10944070"/>
    <w:rsid w:val="10A02282"/>
    <w:rsid w:val="10DA535D"/>
    <w:rsid w:val="110D2AFF"/>
    <w:rsid w:val="122A73E3"/>
    <w:rsid w:val="129325F3"/>
    <w:rsid w:val="12FA3B2F"/>
    <w:rsid w:val="13F07421"/>
    <w:rsid w:val="144A391D"/>
    <w:rsid w:val="15133F2C"/>
    <w:rsid w:val="15196822"/>
    <w:rsid w:val="154D0B52"/>
    <w:rsid w:val="163D1F3A"/>
    <w:rsid w:val="1668696A"/>
    <w:rsid w:val="185A30B9"/>
    <w:rsid w:val="188C4113"/>
    <w:rsid w:val="191A46EE"/>
    <w:rsid w:val="19DE1C05"/>
    <w:rsid w:val="1A3C6E09"/>
    <w:rsid w:val="1A657CD8"/>
    <w:rsid w:val="1AA97D25"/>
    <w:rsid w:val="1B46359D"/>
    <w:rsid w:val="1C0C5403"/>
    <w:rsid w:val="1C3A7887"/>
    <w:rsid w:val="1CD07137"/>
    <w:rsid w:val="1D3772E3"/>
    <w:rsid w:val="1D3F5364"/>
    <w:rsid w:val="1D9C6C71"/>
    <w:rsid w:val="1DD02C25"/>
    <w:rsid w:val="1E172382"/>
    <w:rsid w:val="1E7E7378"/>
    <w:rsid w:val="1F93095F"/>
    <w:rsid w:val="1FB449F5"/>
    <w:rsid w:val="1FC01B05"/>
    <w:rsid w:val="202D724A"/>
    <w:rsid w:val="20317981"/>
    <w:rsid w:val="21D7200F"/>
    <w:rsid w:val="21F82EE6"/>
    <w:rsid w:val="2211172D"/>
    <w:rsid w:val="22A243CB"/>
    <w:rsid w:val="23610B8C"/>
    <w:rsid w:val="241D716E"/>
    <w:rsid w:val="25415AE7"/>
    <w:rsid w:val="2613091A"/>
    <w:rsid w:val="265909F3"/>
    <w:rsid w:val="27621A0B"/>
    <w:rsid w:val="279E7B84"/>
    <w:rsid w:val="28D24D9C"/>
    <w:rsid w:val="28FE7045"/>
    <w:rsid w:val="292D2C2D"/>
    <w:rsid w:val="2941798C"/>
    <w:rsid w:val="294C5129"/>
    <w:rsid w:val="295C70D0"/>
    <w:rsid w:val="2A2B739C"/>
    <w:rsid w:val="2AE43776"/>
    <w:rsid w:val="2B1D5459"/>
    <w:rsid w:val="2D586D85"/>
    <w:rsid w:val="2D984126"/>
    <w:rsid w:val="2E0A4375"/>
    <w:rsid w:val="2ED8288A"/>
    <w:rsid w:val="300246FB"/>
    <w:rsid w:val="32332253"/>
    <w:rsid w:val="32DB1233"/>
    <w:rsid w:val="333F226C"/>
    <w:rsid w:val="33C26030"/>
    <w:rsid w:val="35201A23"/>
    <w:rsid w:val="35415DE3"/>
    <w:rsid w:val="35843E04"/>
    <w:rsid w:val="36337435"/>
    <w:rsid w:val="36C144C3"/>
    <w:rsid w:val="388C7CC2"/>
    <w:rsid w:val="38B06AAD"/>
    <w:rsid w:val="38B92676"/>
    <w:rsid w:val="39783C80"/>
    <w:rsid w:val="3A3910CD"/>
    <w:rsid w:val="3B096510"/>
    <w:rsid w:val="3B414529"/>
    <w:rsid w:val="3B47240E"/>
    <w:rsid w:val="3B8A41D3"/>
    <w:rsid w:val="3BC00DC4"/>
    <w:rsid w:val="3C651D50"/>
    <w:rsid w:val="3CF7310E"/>
    <w:rsid w:val="3D26644E"/>
    <w:rsid w:val="3DBF382B"/>
    <w:rsid w:val="3E103B9E"/>
    <w:rsid w:val="3E2829E9"/>
    <w:rsid w:val="3E5113D8"/>
    <w:rsid w:val="3EC57C58"/>
    <w:rsid w:val="3F7A243C"/>
    <w:rsid w:val="3FB452E6"/>
    <w:rsid w:val="3FF744E4"/>
    <w:rsid w:val="403D54CD"/>
    <w:rsid w:val="4178455B"/>
    <w:rsid w:val="41B873F1"/>
    <w:rsid w:val="426A68F1"/>
    <w:rsid w:val="426B29F2"/>
    <w:rsid w:val="42ED38B0"/>
    <w:rsid w:val="44623B29"/>
    <w:rsid w:val="44D53D34"/>
    <w:rsid w:val="45E82159"/>
    <w:rsid w:val="460C19D8"/>
    <w:rsid w:val="46767799"/>
    <w:rsid w:val="475036EC"/>
    <w:rsid w:val="476304E5"/>
    <w:rsid w:val="48407E8B"/>
    <w:rsid w:val="48F03833"/>
    <w:rsid w:val="4A7F7401"/>
    <w:rsid w:val="4A8E0B63"/>
    <w:rsid w:val="4ABE2B1B"/>
    <w:rsid w:val="4C001FDF"/>
    <w:rsid w:val="4C6063F0"/>
    <w:rsid w:val="4D237C5B"/>
    <w:rsid w:val="4DB33731"/>
    <w:rsid w:val="4DB34E9F"/>
    <w:rsid w:val="4E2A69A0"/>
    <w:rsid w:val="4E4759C7"/>
    <w:rsid w:val="4F570614"/>
    <w:rsid w:val="5051384E"/>
    <w:rsid w:val="50932863"/>
    <w:rsid w:val="50C64757"/>
    <w:rsid w:val="51801680"/>
    <w:rsid w:val="528B597C"/>
    <w:rsid w:val="540B7773"/>
    <w:rsid w:val="54FE3807"/>
    <w:rsid w:val="55CE5FAF"/>
    <w:rsid w:val="58340631"/>
    <w:rsid w:val="58B3037A"/>
    <w:rsid w:val="598F3C15"/>
    <w:rsid w:val="5A1256BA"/>
    <w:rsid w:val="5AB51CCA"/>
    <w:rsid w:val="5AB57322"/>
    <w:rsid w:val="5BC0596D"/>
    <w:rsid w:val="5BE5635E"/>
    <w:rsid w:val="5C03587B"/>
    <w:rsid w:val="5C4805D9"/>
    <w:rsid w:val="5CB26089"/>
    <w:rsid w:val="5DA53F1B"/>
    <w:rsid w:val="5DC63FF9"/>
    <w:rsid w:val="5E4B6C8A"/>
    <w:rsid w:val="5F2F6157"/>
    <w:rsid w:val="5FC627A0"/>
    <w:rsid w:val="5FD076A0"/>
    <w:rsid w:val="60CC0666"/>
    <w:rsid w:val="61091957"/>
    <w:rsid w:val="61DA4AD9"/>
    <w:rsid w:val="62AE498D"/>
    <w:rsid w:val="63FF44D2"/>
    <w:rsid w:val="64AB0CD1"/>
    <w:rsid w:val="64D84E1A"/>
    <w:rsid w:val="655A54F2"/>
    <w:rsid w:val="65675ED4"/>
    <w:rsid w:val="662A169A"/>
    <w:rsid w:val="676E5CC7"/>
    <w:rsid w:val="67F71E56"/>
    <w:rsid w:val="67FC7CD7"/>
    <w:rsid w:val="684C44B3"/>
    <w:rsid w:val="68624838"/>
    <w:rsid w:val="690F1726"/>
    <w:rsid w:val="6C124248"/>
    <w:rsid w:val="6C497E85"/>
    <w:rsid w:val="6C6B059F"/>
    <w:rsid w:val="6CA00B62"/>
    <w:rsid w:val="6CFE27E3"/>
    <w:rsid w:val="6D274D94"/>
    <w:rsid w:val="6D955447"/>
    <w:rsid w:val="6DD01AB0"/>
    <w:rsid w:val="6DEB139F"/>
    <w:rsid w:val="6E8B3FD1"/>
    <w:rsid w:val="6E9D5013"/>
    <w:rsid w:val="6F4D02A4"/>
    <w:rsid w:val="704E4374"/>
    <w:rsid w:val="706B3710"/>
    <w:rsid w:val="70784F6A"/>
    <w:rsid w:val="70B2470E"/>
    <w:rsid w:val="70ED2282"/>
    <w:rsid w:val="71943263"/>
    <w:rsid w:val="71B64A4E"/>
    <w:rsid w:val="720B21A0"/>
    <w:rsid w:val="72E163D5"/>
    <w:rsid w:val="735D10F8"/>
    <w:rsid w:val="73A155A6"/>
    <w:rsid w:val="740F42BD"/>
    <w:rsid w:val="747F3106"/>
    <w:rsid w:val="75013D35"/>
    <w:rsid w:val="751540E3"/>
    <w:rsid w:val="76085468"/>
    <w:rsid w:val="764861AD"/>
    <w:rsid w:val="77130569"/>
    <w:rsid w:val="77704846"/>
    <w:rsid w:val="77822AD2"/>
    <w:rsid w:val="7846297D"/>
    <w:rsid w:val="79E06FD9"/>
    <w:rsid w:val="7A2B3BCE"/>
    <w:rsid w:val="7A6F257C"/>
    <w:rsid w:val="7AC3206E"/>
    <w:rsid w:val="7C040B5B"/>
    <w:rsid w:val="7C4D2A74"/>
    <w:rsid w:val="7DC73F51"/>
    <w:rsid w:val="7F210F90"/>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styleId="8">
    <w:name w:val="Body Text Indent"/>
    <w:basedOn w:val="1"/>
    <w:next w:val="9"/>
    <w:link w:val="31"/>
    <w:qFormat/>
    <w:uiPriority w:val="0"/>
    <w:pPr>
      <w:spacing w:after="120"/>
      <w:ind w:left="420" w:leftChars="200"/>
    </w:pPr>
  </w:style>
  <w:style w:type="paragraph" w:styleId="9">
    <w:name w:val="envelope return"/>
    <w:basedOn w:val="1"/>
    <w:next w:val="10"/>
    <w:unhideWhenUsed/>
    <w:qFormat/>
    <w:uiPriority w:val="99"/>
    <w:pPr>
      <w:snapToGrid w:val="0"/>
      <w:ind w:firstLine="200"/>
    </w:pPr>
    <w:rPr>
      <w:rFonts w:ascii="Arial" w:hAnsi="Arial" w:cs="Arial"/>
      <w:szCs w:val="20"/>
    </w:rPr>
  </w:style>
  <w:style w:type="paragraph" w:styleId="10">
    <w:name w:val="Title"/>
    <w:basedOn w:val="1"/>
    <w:next w:val="1"/>
    <w:qFormat/>
    <w:uiPriority w:val="0"/>
    <w:pPr>
      <w:tabs>
        <w:tab w:val="left" w:pos="450"/>
      </w:tabs>
      <w:ind w:left="450" w:hanging="450"/>
      <w:jc w:val="center"/>
    </w:pPr>
    <w:rPr>
      <w:rFonts w:ascii="黑体" w:eastAsia="黑体"/>
      <w:sz w:val="32"/>
      <w:szCs w:val="20"/>
    </w:rPr>
  </w:style>
  <w:style w:type="paragraph" w:styleId="11">
    <w:name w:val="Plain Text"/>
    <w:basedOn w:val="1"/>
    <w:link w:val="32"/>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引用1"/>
    <w:basedOn w:val="1"/>
    <w:next w:val="1"/>
    <w:unhideWhenUsed/>
    <w:qFormat/>
    <w:uiPriority w:val="99"/>
    <w:pPr>
      <w:ind w:left="864" w:right="864"/>
      <w:jc w:val="center"/>
    </w:pPr>
    <w:rPr>
      <w:rFonts w:ascii="Times New Roman" w:hAnsi="Times New Roman"/>
      <w:i/>
      <w:iCs/>
      <w:color w:val="404040"/>
      <w:szCs w:val="21"/>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Body Text First Indent"/>
    <w:basedOn w:val="2"/>
    <w:qFormat/>
    <w:uiPriority w:val="99"/>
    <w:pPr>
      <w:ind w:firstLine="420" w:firstLineChars="100"/>
    </w:pPr>
  </w:style>
  <w:style w:type="paragraph" w:styleId="19">
    <w:name w:val="Body Text First Indent 2"/>
    <w:basedOn w:val="8"/>
    <w:next w:val="1"/>
    <w:qFormat/>
    <w:uiPriority w:val="0"/>
    <w:pPr>
      <w:ind w:firstLine="420" w:firstLineChars="200"/>
    </w:pPr>
    <w:rPr>
      <w:rFonts w:ascii="Calibri" w:hAnsi="Calibri"/>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rFonts w:ascii="Times New Roman" w:hAnsi="Times New Roman" w:eastAsia="宋体" w:cs="Times New Roman"/>
      <w:color w:val="0000FF"/>
      <w:kern w:val="2"/>
      <w:sz w:val="21"/>
      <w:szCs w:val="24"/>
      <w:u w:val="single"/>
      <w:lang w:eastAsia="zh-CN"/>
    </w:rPr>
  </w:style>
  <w:style w:type="character" w:styleId="25">
    <w:name w:val="footnote reference"/>
    <w:unhideWhenUsed/>
    <w:qFormat/>
    <w:uiPriority w:val="0"/>
    <w:rPr>
      <w:vertAlign w:val="superscript"/>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character" w:customStyle="1" w:styleId="27">
    <w:name w:val="font61"/>
    <w:basedOn w:val="22"/>
    <w:qFormat/>
    <w:uiPriority w:val="0"/>
    <w:rPr>
      <w:rFonts w:hint="eastAsia" w:ascii="宋体" w:hAnsi="宋体" w:eastAsia="宋体" w:cs="宋体"/>
      <w:color w:val="000000"/>
      <w:sz w:val="20"/>
      <w:szCs w:val="20"/>
      <w:u w:val="none"/>
    </w:rPr>
  </w:style>
  <w:style w:type="character" w:customStyle="1" w:styleId="28">
    <w:name w:val="font141"/>
    <w:basedOn w:val="22"/>
    <w:qFormat/>
    <w:uiPriority w:val="0"/>
    <w:rPr>
      <w:rFonts w:hint="eastAsia" w:ascii="宋体" w:hAnsi="宋体" w:eastAsia="宋体" w:cs="宋体"/>
      <w:color w:val="000000"/>
      <w:sz w:val="24"/>
      <w:szCs w:val="24"/>
      <w:u w:val="none"/>
      <w:vertAlign w:val="superscript"/>
    </w:rPr>
  </w:style>
  <w:style w:type="paragraph" w:customStyle="1" w:styleId="29">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kern w:val="0"/>
      <w:szCs w:val="20"/>
    </w:rPr>
  </w:style>
  <w:style w:type="paragraph" w:customStyle="1" w:styleId="30">
    <w:name w:val="List Paragraph"/>
    <w:basedOn w:val="1"/>
    <w:qFormat/>
    <w:uiPriority w:val="1"/>
    <w:pPr>
      <w:ind w:left="235" w:hanging="527"/>
    </w:pPr>
    <w:rPr>
      <w:rFonts w:ascii="宋体" w:hAnsi="宋体" w:eastAsia="宋体" w:cs="宋体"/>
      <w:lang w:val="zh-CN" w:eastAsia="zh-CN" w:bidi="zh-CN"/>
    </w:rPr>
  </w:style>
  <w:style w:type="character" w:customStyle="1" w:styleId="31">
    <w:name w:val="正文文本缩进 Char"/>
    <w:link w:val="8"/>
    <w:qFormat/>
    <w:uiPriority w:val="0"/>
  </w:style>
  <w:style w:type="character" w:customStyle="1" w:styleId="32">
    <w:name w:val="纯文本 Char"/>
    <w:link w:val="11"/>
    <w:qFormat/>
    <w:uiPriority w:val="0"/>
    <w:rPr>
      <w:rFonts w:ascii="宋体" w:hAnsi="Courier New"/>
      <w:szCs w:val="20"/>
    </w:rPr>
  </w:style>
  <w:style w:type="paragraph" w:customStyle="1" w:styleId="33">
    <w:name w:val="Quote"/>
    <w:basedOn w:val="1"/>
    <w:next w:val="1"/>
    <w:unhideWhenUsed/>
    <w:qFormat/>
    <w:uiPriority w:val="99"/>
    <w:pPr>
      <w:ind w:left="864" w:right="864"/>
      <w:jc w:val="center"/>
    </w:pPr>
    <w:rPr>
      <w:rFonts w:ascii="Times New Roman" w:hAnsi="Times New Roman"/>
      <w:i/>
      <w:iCs/>
      <w:color w:val="404040"/>
      <w:szCs w:val="21"/>
    </w:rPr>
  </w:style>
  <w:style w:type="paragraph" w:customStyle="1" w:styleId="34">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20133</Words>
  <Characters>21146</Characters>
  <Lines>180</Lines>
  <Paragraphs>50</Paragraphs>
  <TotalTime>61</TotalTime>
  <ScaleCrop>false</ScaleCrop>
  <LinksUpToDate>false</LinksUpToDate>
  <CharactersWithSpaces>28341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夜丶长枫</cp:lastModifiedBy>
  <cp:lastPrinted>2023-08-24T07:18:00Z</cp:lastPrinted>
  <dcterms:modified xsi:type="dcterms:W3CDTF">2023-11-26T04:41:54Z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B05F648D1375445EBBC1ACCD4EA69E20_13</vt:lpwstr>
  </property>
</Properties>
</file>